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A04FE8" w14:textId="77777777" w:rsidR="004C5506" w:rsidRPr="00F64687" w:rsidRDefault="004C5506" w:rsidP="004C5506">
      <w:pPr>
        <w:pStyle w:val="Logo"/>
        <w:rPr>
          <w:rFonts w:ascii="Book Antiqua" w:hAnsi="Book Antiqua"/>
          <w:noProof/>
          <w:lang w:val="sr-Latn-ME"/>
        </w:rPr>
      </w:pPr>
      <w:r w:rsidRPr="00F64687">
        <w:rPr>
          <w:rFonts w:ascii="Book Antiqua" w:hAnsi="Book Antiqua"/>
          <w:noProof/>
          <w:lang w:val="sr-Latn-ME"/>
        </w:rPr>
        <w:t xml:space="preserve">    </w:t>
      </w:r>
      <w:r w:rsidRPr="00F64687">
        <w:rPr>
          <w:rFonts w:ascii="Book Antiqua" w:hAnsi="Book Antiqua"/>
          <w:noProof/>
          <w:lang w:val="sr-Latn-ME" w:eastAsia="sr-Latn-ME"/>
        </w:rPr>
        <w:drawing>
          <wp:inline distT="0" distB="0" distL="0" distR="0" wp14:anchorId="11CB109B" wp14:editId="50AC8B51">
            <wp:extent cx="1645860" cy="1857375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gr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706" cy="1860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65E29" w14:textId="77777777" w:rsidR="004C5506" w:rsidRPr="008D5077" w:rsidRDefault="004C5506" w:rsidP="004C5506">
      <w:pPr>
        <w:rPr>
          <w:rFonts w:ascii="Book Antiqua" w:hAnsi="Book Antiqua"/>
          <w:noProof/>
          <w:sz w:val="44"/>
          <w:szCs w:val="50"/>
        </w:rPr>
      </w:pPr>
      <w:r w:rsidRPr="008D5077">
        <w:rPr>
          <w:rFonts w:ascii="Book Antiqua" w:hAnsi="Book Antiqua"/>
          <w:noProof/>
          <w:sz w:val="44"/>
          <w:szCs w:val="50"/>
        </w:rPr>
        <w:t>Skupština Crne Gore</w:t>
      </w:r>
    </w:p>
    <w:p w14:paraId="37F70D6F" w14:textId="77777777" w:rsidR="004C5506" w:rsidRPr="00F64687" w:rsidRDefault="004C5506" w:rsidP="004C5506">
      <w:pPr>
        <w:rPr>
          <w:rFonts w:ascii="Book Antiqua" w:hAnsi="Book Antiqua"/>
          <w:noProof/>
        </w:rPr>
      </w:pPr>
      <w:r w:rsidRPr="00F64687">
        <w:rPr>
          <w:rFonts w:ascii="Book Antiqua" w:hAnsi="Book Antiqua"/>
          <w:noProof/>
        </w:rPr>
        <w:t xml:space="preserve"> </w:t>
      </w:r>
    </w:p>
    <w:p w14:paraId="30712A43" w14:textId="77777777" w:rsidR="008D5077" w:rsidRDefault="008D5077" w:rsidP="004C5506">
      <w:pPr>
        <w:rPr>
          <w:rFonts w:ascii="Book Antiqua" w:hAnsi="Book Antiqua"/>
          <w:noProof/>
        </w:rPr>
      </w:pPr>
    </w:p>
    <w:p w14:paraId="1BCB1A31" w14:textId="701DF915" w:rsidR="004C5506" w:rsidRPr="00F64687" w:rsidRDefault="004C5506" w:rsidP="004C5506">
      <w:pPr>
        <w:rPr>
          <w:rFonts w:ascii="Book Antiqua" w:hAnsi="Book Antiqua"/>
          <w:noProof/>
        </w:rPr>
      </w:pPr>
    </w:p>
    <w:p w14:paraId="59B897F3" w14:textId="380B0608" w:rsidR="004C5506" w:rsidRPr="00F64687" w:rsidRDefault="004C5506" w:rsidP="004C5506">
      <w:pPr>
        <w:rPr>
          <w:rFonts w:ascii="Book Antiqua" w:hAnsi="Book Antiqua"/>
          <w:noProof/>
        </w:rPr>
      </w:pPr>
    </w:p>
    <w:p w14:paraId="19AA306D" w14:textId="19F32A31" w:rsidR="004C5506" w:rsidRPr="00F64687" w:rsidRDefault="008D5077" w:rsidP="004C5506">
      <w:pPr>
        <w:rPr>
          <w:rFonts w:ascii="Book Antiqua" w:hAnsi="Book Antiqua"/>
          <w:noProof/>
        </w:rPr>
      </w:pPr>
      <w:r w:rsidRPr="00F64687">
        <w:rPr>
          <w:rFonts w:ascii="Book Antiqua" w:hAnsi="Book Antiqua"/>
          <w:noProof/>
          <w:lang w:eastAsia="sr-Latn-M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E5548D3" wp14:editId="68DBC14A">
                <wp:simplePos x="0" y="0"/>
                <wp:positionH relativeFrom="margin">
                  <wp:posOffset>4445</wp:posOffset>
                </wp:positionH>
                <wp:positionV relativeFrom="margin">
                  <wp:posOffset>4147820</wp:posOffset>
                </wp:positionV>
                <wp:extent cx="4999355" cy="1901825"/>
                <wp:effectExtent l="0" t="0" r="10795" b="3175"/>
                <wp:wrapTight wrapText="bothSides">
                  <wp:wrapPolygon edited="0">
                    <wp:start x="0" y="0"/>
                    <wp:lineTo x="0" y="21420"/>
                    <wp:lineTo x="21564" y="21420"/>
                    <wp:lineTo x="21564" y="0"/>
                    <wp:lineTo x="0" y="0"/>
                  </wp:wrapPolygon>
                </wp:wrapTight>
                <wp:docPr id="2" name="Text Box 2" descr="Text box displaying document title and subtit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99355" cy="1901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A4745" w14:textId="26FFFC73" w:rsidR="004C5506" w:rsidRPr="008D5077" w:rsidRDefault="004C5506" w:rsidP="004C5506">
                            <w:pPr>
                              <w:pStyle w:val="Title"/>
                              <w:rPr>
                                <w:rFonts w:ascii="Book Antiqua" w:hAnsi="Book Antiqua"/>
                                <w:color w:val="C00000"/>
                                <w:sz w:val="72"/>
                                <w:szCs w:val="72"/>
                                <w:lang w:val="sr-Latn-ME"/>
                              </w:rPr>
                            </w:pPr>
                            <w:r w:rsidRPr="008D5077">
                              <w:rPr>
                                <w:rFonts w:ascii="Book Antiqua" w:hAnsi="Book Antiqua"/>
                                <w:color w:val="C00000"/>
                                <w:sz w:val="72"/>
                                <w:szCs w:val="72"/>
                                <w:lang w:val="sr-Latn-ME"/>
                              </w:rPr>
                              <w:t xml:space="preserve">Plan rada Odbora za evropske integracije     za </w:t>
                            </w:r>
                            <w:r w:rsidR="00DA118F" w:rsidRPr="008D5077">
                              <w:rPr>
                                <w:rFonts w:ascii="Book Antiqua" w:hAnsi="Book Antiqua"/>
                                <w:color w:val="C00000"/>
                                <w:sz w:val="72"/>
                                <w:szCs w:val="72"/>
                                <w:lang w:val="sr-Latn-ME"/>
                              </w:rPr>
                              <w:t>202</w:t>
                            </w:r>
                            <w:r w:rsidR="002376B0" w:rsidRPr="008D5077">
                              <w:rPr>
                                <w:rFonts w:ascii="Book Antiqua" w:hAnsi="Book Antiqua"/>
                                <w:color w:val="C00000"/>
                                <w:sz w:val="72"/>
                                <w:szCs w:val="72"/>
                                <w:lang w:val="sr-Latn-ME"/>
                              </w:rPr>
                              <w:t>1</w:t>
                            </w:r>
                            <w:r w:rsidRPr="008D5077">
                              <w:rPr>
                                <w:rFonts w:ascii="Book Antiqua" w:hAnsi="Book Antiqua"/>
                                <w:color w:val="C00000"/>
                                <w:sz w:val="72"/>
                                <w:szCs w:val="72"/>
                                <w:lang w:val="sr-Latn-ME"/>
                              </w:rPr>
                              <w:t>. godinu</w:t>
                            </w:r>
                          </w:p>
                          <w:p w14:paraId="7F1CE81F" w14:textId="77777777" w:rsidR="004C5506" w:rsidRPr="00A55011" w:rsidRDefault="004C5506" w:rsidP="004C5506">
                            <w:pPr>
                              <w:pStyle w:val="Subtitle"/>
                              <w:rPr>
                                <w:color w:val="FF0000"/>
                                <w:lang w:val="sr-Latn-M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5548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 displaying document title and subtitle" style="position:absolute;margin-left:.35pt;margin-top:326.6pt;width:393.65pt;height:14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" filled="f" stroked="f" strokeweight=".5pt">
                <v:textbox inset="0,0,0,0">
                  <w:txbxContent>
                    <w:p w14:paraId="24CA4745" w14:textId="26FFFC73" w:rsidR="004C5506" w:rsidRPr="008D5077" w:rsidRDefault="004C5506" w:rsidP="004C5506">
                      <w:pPr>
                        <w:pStyle w:val="Title"/>
                        <w:rPr>
                          <w:rFonts w:ascii="Book Antiqua" w:hAnsi="Book Antiqua"/>
                          <w:color w:val="C00000"/>
                          <w:sz w:val="72"/>
                          <w:szCs w:val="72"/>
                          <w:lang w:val="sr-Latn-ME"/>
                        </w:rPr>
                      </w:pPr>
                      <w:r w:rsidRPr="008D5077">
                        <w:rPr>
                          <w:rFonts w:ascii="Book Antiqua" w:hAnsi="Book Antiqua"/>
                          <w:color w:val="C00000"/>
                          <w:sz w:val="72"/>
                          <w:szCs w:val="72"/>
                          <w:lang w:val="sr-Latn-ME"/>
                        </w:rPr>
                        <w:t xml:space="preserve">Plan rada Odbora za evropske integracije     za </w:t>
                      </w:r>
                      <w:r w:rsidR="00DA118F" w:rsidRPr="008D5077">
                        <w:rPr>
                          <w:rFonts w:ascii="Book Antiqua" w:hAnsi="Book Antiqua"/>
                          <w:color w:val="C00000"/>
                          <w:sz w:val="72"/>
                          <w:szCs w:val="72"/>
                          <w:lang w:val="sr-Latn-ME"/>
                        </w:rPr>
                        <w:t>202</w:t>
                      </w:r>
                      <w:r w:rsidR="002376B0" w:rsidRPr="008D5077">
                        <w:rPr>
                          <w:rFonts w:ascii="Book Antiqua" w:hAnsi="Book Antiqua"/>
                          <w:color w:val="C00000"/>
                          <w:sz w:val="72"/>
                          <w:szCs w:val="72"/>
                          <w:lang w:val="sr-Latn-ME"/>
                        </w:rPr>
                        <w:t>1</w:t>
                      </w:r>
                      <w:r w:rsidRPr="008D5077">
                        <w:rPr>
                          <w:rFonts w:ascii="Book Antiqua" w:hAnsi="Book Antiqua"/>
                          <w:color w:val="C00000"/>
                          <w:sz w:val="72"/>
                          <w:szCs w:val="72"/>
                          <w:lang w:val="sr-Latn-ME"/>
                        </w:rPr>
                        <w:t>. godinu</w:t>
                      </w:r>
                    </w:p>
                    <w:p w14:paraId="7F1CE81F" w14:textId="77777777" w:rsidR="004C5506" w:rsidRPr="00A55011" w:rsidRDefault="004C5506" w:rsidP="004C5506">
                      <w:pPr>
                        <w:pStyle w:val="Subtitle"/>
                        <w:rPr>
                          <w:color w:val="FF0000"/>
                          <w:lang w:val="sr-Latn-ME"/>
                        </w:rPr>
                      </w:pP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311095B2" w14:textId="77777777" w:rsidR="004C5506" w:rsidRPr="00F64687" w:rsidRDefault="004C5506" w:rsidP="004C5506">
      <w:pPr>
        <w:rPr>
          <w:rFonts w:ascii="Book Antiqua" w:hAnsi="Book Antiqua"/>
          <w:noProof/>
        </w:rPr>
      </w:pPr>
    </w:p>
    <w:p w14:paraId="644BAE2B" w14:textId="77777777" w:rsidR="004C5506" w:rsidRPr="00F64687" w:rsidRDefault="004C5506" w:rsidP="004C5506">
      <w:pPr>
        <w:rPr>
          <w:rFonts w:ascii="Book Antiqua" w:hAnsi="Book Antiqua"/>
          <w:noProof/>
        </w:rPr>
      </w:pPr>
    </w:p>
    <w:p w14:paraId="4665A606" w14:textId="77777777" w:rsidR="004C5506" w:rsidRPr="00F64687" w:rsidRDefault="004C5506" w:rsidP="004C5506">
      <w:pPr>
        <w:rPr>
          <w:rFonts w:ascii="Book Antiqua" w:hAnsi="Book Antiqua"/>
          <w:noProof/>
        </w:rPr>
      </w:pPr>
    </w:p>
    <w:p w14:paraId="449F1E6E" w14:textId="77777777" w:rsidR="004C5506" w:rsidRDefault="004C5506" w:rsidP="004C5506">
      <w:pPr>
        <w:jc w:val="both"/>
        <w:rPr>
          <w:rFonts w:ascii="Book Antiqua" w:hAnsi="Book Antiqua"/>
          <w:sz w:val="22"/>
          <w:szCs w:val="22"/>
        </w:rPr>
      </w:pPr>
    </w:p>
    <w:p w14:paraId="275F2B2B" w14:textId="77777777" w:rsidR="004C5506" w:rsidRPr="004C5506" w:rsidRDefault="004C5506" w:rsidP="004C5506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</w:p>
    <w:p w14:paraId="0907D5DC" w14:textId="77777777" w:rsidR="004C5506" w:rsidRPr="004C5506" w:rsidRDefault="004C5506" w:rsidP="004C5506">
      <w:pPr>
        <w:jc w:val="both"/>
        <w:rPr>
          <w:rFonts w:ascii="Book Antiqua" w:hAnsi="Book Antiqua"/>
          <w:sz w:val="22"/>
          <w:szCs w:val="22"/>
        </w:rPr>
      </w:pPr>
    </w:p>
    <w:p w14:paraId="0CA4061B" w14:textId="77777777" w:rsidR="00EA3AE1" w:rsidRDefault="00EA3AE1" w:rsidP="004C5506">
      <w:pPr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45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00000"/>
        <w:tblLook w:val="04A0" w:firstRow="1" w:lastRow="0" w:firstColumn="1" w:lastColumn="0" w:noHBand="0" w:noVBand="1"/>
      </w:tblPr>
      <w:tblGrid>
        <w:gridCol w:w="5460"/>
      </w:tblGrid>
      <w:tr w:rsidR="00EA3AE1" w14:paraId="6EC8D824" w14:textId="77777777" w:rsidTr="005E312E">
        <w:trPr>
          <w:trHeight w:val="457"/>
        </w:trPr>
        <w:tc>
          <w:tcPr>
            <w:tcW w:w="5460" w:type="dxa"/>
            <w:shd w:val="clear" w:color="auto" w:fill="C00000"/>
            <w:vAlign w:val="center"/>
          </w:tcPr>
          <w:p w14:paraId="0B8B0198" w14:textId="737FB72B" w:rsidR="00EA3AE1" w:rsidRPr="006D277B" w:rsidRDefault="00250C4B" w:rsidP="00250C4B">
            <w:pPr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Podgorica,</w:t>
            </w:r>
            <w:r w:rsidR="00EA3AE1" w:rsidRPr="006D277B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b/>
                <w:sz w:val="24"/>
                <w:szCs w:val="24"/>
              </w:rPr>
              <w:t>april</w:t>
            </w:r>
            <w:r w:rsidR="00D63E20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  <w:r w:rsidR="00DA118F">
              <w:rPr>
                <w:rFonts w:ascii="Book Antiqua" w:hAnsi="Book Antiqua"/>
                <w:b/>
                <w:sz w:val="24"/>
                <w:szCs w:val="24"/>
              </w:rPr>
              <w:t>202</w:t>
            </w:r>
            <w:r w:rsidR="002376B0">
              <w:rPr>
                <w:rFonts w:ascii="Book Antiqua" w:hAnsi="Book Antiqua"/>
                <w:b/>
                <w:sz w:val="24"/>
                <w:szCs w:val="24"/>
              </w:rPr>
              <w:t>1</w:t>
            </w:r>
            <w:r w:rsidR="00EA3AE1" w:rsidRPr="006D277B">
              <w:rPr>
                <w:rFonts w:ascii="Book Antiqua" w:hAnsi="Book Antiqua"/>
                <w:b/>
                <w:sz w:val="24"/>
                <w:szCs w:val="24"/>
              </w:rPr>
              <w:t>. godine</w:t>
            </w:r>
          </w:p>
        </w:tc>
      </w:tr>
    </w:tbl>
    <w:p w14:paraId="2A18D890" w14:textId="77777777" w:rsidR="00EA3AE1" w:rsidRDefault="00EA3AE1" w:rsidP="004C5506">
      <w:pPr>
        <w:jc w:val="both"/>
        <w:rPr>
          <w:rFonts w:ascii="Book Antiqua" w:hAnsi="Book Antiqua"/>
          <w:sz w:val="22"/>
          <w:szCs w:val="22"/>
        </w:rPr>
      </w:pPr>
    </w:p>
    <w:p w14:paraId="1638CCFA" w14:textId="77777777" w:rsidR="00EA3AE1" w:rsidRDefault="00EA3AE1">
      <w:pPr>
        <w:rPr>
          <w:rFonts w:ascii="Book Antiqua" w:hAnsi="Book Antiqua"/>
          <w:b/>
          <w:color w:val="FF0000"/>
          <w:sz w:val="36"/>
          <w:szCs w:val="36"/>
        </w:rPr>
      </w:pPr>
      <w:r>
        <w:rPr>
          <w:rFonts w:ascii="Book Antiqua" w:hAnsi="Book Antiqua"/>
          <w:b/>
          <w:color w:val="FF0000"/>
          <w:sz w:val="36"/>
          <w:szCs w:val="36"/>
        </w:rPr>
        <w:br w:type="page"/>
      </w:r>
    </w:p>
    <w:p w14:paraId="6F725193" w14:textId="263C6893" w:rsidR="004A176E" w:rsidRPr="008D5077" w:rsidRDefault="00E94F56" w:rsidP="00EA3AE1">
      <w:pPr>
        <w:rPr>
          <w:rFonts w:ascii="Book Antiqua" w:hAnsi="Book Antiqua"/>
          <w:b/>
          <w:color w:val="C00000"/>
          <w:sz w:val="34"/>
          <w:szCs w:val="34"/>
        </w:rPr>
      </w:pPr>
      <w:r w:rsidRPr="008D5077">
        <w:rPr>
          <w:rFonts w:ascii="Book Antiqua" w:hAnsi="Book Antiqua"/>
          <w:b/>
          <w:color w:val="C00000"/>
          <w:sz w:val="34"/>
          <w:szCs w:val="34"/>
        </w:rPr>
        <w:lastRenderedPageBreak/>
        <w:t xml:space="preserve">I </w:t>
      </w:r>
      <w:r w:rsidR="004C5506" w:rsidRPr="008D5077">
        <w:rPr>
          <w:rFonts w:ascii="Book Antiqua" w:hAnsi="Book Antiqua"/>
          <w:b/>
          <w:color w:val="C00000"/>
          <w:sz w:val="34"/>
          <w:szCs w:val="34"/>
        </w:rPr>
        <w:t>Uvod</w:t>
      </w:r>
    </w:p>
    <w:p w14:paraId="12FC466A" w14:textId="12C41FEF" w:rsidR="0092684C" w:rsidRPr="006B26BE" w:rsidRDefault="004A176E" w:rsidP="004A176E">
      <w:pPr>
        <w:spacing w:before="360"/>
        <w:jc w:val="both"/>
        <w:rPr>
          <w:rFonts w:ascii="Book Antiqua" w:eastAsia="Calibri" w:hAnsi="Book Antiqua"/>
        </w:rPr>
      </w:pPr>
      <w:r w:rsidRPr="006B26BE">
        <w:rPr>
          <w:rFonts w:ascii="Book Antiqua" w:eastAsia="Calibri" w:hAnsi="Book Antiqua"/>
        </w:rPr>
        <w:t>Odbor za evropske integra</w:t>
      </w:r>
      <w:r w:rsidR="00795835" w:rsidRPr="006B26BE">
        <w:rPr>
          <w:rFonts w:ascii="Book Antiqua" w:eastAsia="Calibri" w:hAnsi="Book Antiqua"/>
        </w:rPr>
        <w:t>cije, u ime Skupštine Crne Gore i</w:t>
      </w:r>
      <w:r w:rsidRPr="006B26BE">
        <w:rPr>
          <w:rFonts w:ascii="Book Antiqua" w:eastAsia="Calibri" w:hAnsi="Book Antiqua"/>
        </w:rPr>
        <w:t xml:space="preserve"> djelujući u skladu sa Poslovnikom o radu Skupštine Crne Gore i Rezolucijom o načinu, kvalitetu i dinamici procesa integracija Crne Gore u Evropsku uniju,</w:t>
      </w:r>
      <w:r w:rsidR="00795835" w:rsidRPr="006B26BE">
        <w:rPr>
          <w:rFonts w:ascii="Book Antiqua" w:eastAsia="Calibri" w:hAnsi="Book Antiqua"/>
        </w:rPr>
        <w:t xml:space="preserve"> Programom rada Vlade Crne Gore za 2021. godinu, kao i smjernicama evropskih institucija,</w:t>
      </w:r>
      <w:r w:rsidRPr="006B26BE">
        <w:rPr>
          <w:rFonts w:ascii="Book Antiqua" w:eastAsia="Calibri" w:hAnsi="Book Antiqua"/>
        </w:rPr>
        <w:t xml:space="preserve"> tokom 2021. godine nastaviće sa nadzorom pregovaračkog procesa Crne Gore sa Evropskom unijom. Svoju kontrolnu ulogu ostvariće kroz razmatranje ključnih dokumenata koje donosi Vlada, organizaciju tematskih sjednica i konsultativnih saslušanja, kao i aktivnu ulogu u međunarodnoj saradnji, sve u cilju efikasnije dinamike cjelokupnog procesa evropskih integracija. </w:t>
      </w:r>
    </w:p>
    <w:p w14:paraId="2F435EBB" w14:textId="07FDF30F" w:rsidR="0092684C" w:rsidRPr="006B26BE" w:rsidRDefault="0092684C" w:rsidP="0092684C">
      <w:pPr>
        <w:jc w:val="both"/>
        <w:rPr>
          <w:rFonts w:ascii="Book Antiqua" w:eastAsia="Calibri" w:hAnsi="Book Antiqua"/>
        </w:rPr>
      </w:pPr>
      <w:r w:rsidRPr="006B26BE">
        <w:rPr>
          <w:rFonts w:ascii="Book Antiqua" w:eastAsia="Calibri" w:hAnsi="Book Antiqua"/>
        </w:rPr>
        <w:t xml:space="preserve">U kontekstu ukupne epidemiološke situacije u Crnoj Gori i svijetu, izazvane pandemijom virusa COVID-19, </w:t>
      </w:r>
      <w:r w:rsidR="00866C5A" w:rsidRPr="006B26BE">
        <w:rPr>
          <w:rFonts w:ascii="Book Antiqua" w:eastAsia="Calibri" w:hAnsi="Book Antiqua"/>
        </w:rPr>
        <w:t xml:space="preserve">rad Odbora za evropske integracije karakterisaće visok stepen fleksibilnosti i korišćenja informacionih tehnologija dostupnih Skupštini Crne Gore, što će unijeti dodatnu novinu u tradicionalne mehanizme funkcionisanja parlamenta i odraziti se na planiranje aktivnosti Odbora u ovoj godini. </w:t>
      </w:r>
    </w:p>
    <w:p w14:paraId="352483FD" w14:textId="1AF86280" w:rsidR="00866C5A" w:rsidRPr="006B26BE" w:rsidRDefault="00866C5A" w:rsidP="0092684C">
      <w:pPr>
        <w:jc w:val="both"/>
        <w:rPr>
          <w:rFonts w:ascii="Book Antiqua" w:eastAsia="Calibri" w:hAnsi="Book Antiqua"/>
        </w:rPr>
      </w:pPr>
      <w:r w:rsidRPr="006B26BE">
        <w:rPr>
          <w:rFonts w:ascii="Book Antiqua" w:eastAsia="Calibri" w:hAnsi="Book Antiqua"/>
        </w:rPr>
        <w:t xml:space="preserve">Odbor će sve svoje sjednice organizovati uz mogućnost učešća poslanika preko dostupnih internet platformi, što je omogućeno posljednjim izmjenama Poslovnika Skupštine Crne Gore od 30. decembra 2020. godine. </w:t>
      </w:r>
      <w:r w:rsidR="009B6EAD" w:rsidRPr="006B26BE">
        <w:rPr>
          <w:rFonts w:ascii="Book Antiqua" w:eastAsia="Calibri" w:hAnsi="Book Antiqua"/>
        </w:rPr>
        <w:t xml:space="preserve">Sve javne tribine, okrugli stolovi, tematski sastanci i slične aktivnosti Odbora biće prilagođavani epidemiološkoj situaciji u Crnoj Gori i mjerama nadležnih organa, i podrazumijevaće kombinaciju fizičkog i virtuelnog učešća u aktivnostima. Isto važi i za međunarodne aktivnosti Odbora u ovoj godini. </w:t>
      </w:r>
    </w:p>
    <w:p w14:paraId="020D174D" w14:textId="63BE21BA" w:rsidR="004A176E" w:rsidRPr="006B26BE" w:rsidRDefault="004A176E" w:rsidP="004A176E">
      <w:pPr>
        <w:jc w:val="both"/>
        <w:rPr>
          <w:rFonts w:ascii="Book Antiqua" w:eastAsia="Calibri" w:hAnsi="Book Antiqua"/>
        </w:rPr>
      </w:pPr>
      <w:r w:rsidRPr="006B26BE">
        <w:rPr>
          <w:rFonts w:ascii="Book Antiqua" w:eastAsia="Calibri" w:hAnsi="Book Antiqua"/>
          <w:u w:val="single"/>
        </w:rPr>
        <w:t>Trenutni bilans rezultata</w:t>
      </w:r>
      <w:r w:rsidRPr="006B26BE">
        <w:rPr>
          <w:rFonts w:ascii="Book Antiqua" w:eastAsia="Calibri" w:hAnsi="Book Antiqua"/>
        </w:rPr>
        <w:t xml:space="preserve"> u okviru pregovora Crne Gore o članstvu u EU je 33 otvorena i 3 privremeno zatvorena poglavlja. Tokom godine očekuje se da će fokus biti </w:t>
      </w:r>
      <w:r w:rsidR="003667AA" w:rsidRPr="003667AA">
        <w:rPr>
          <w:rFonts w:ascii="Book Antiqua" w:eastAsia="Calibri" w:hAnsi="Book Antiqua"/>
        </w:rPr>
        <w:t xml:space="preserve">na vladavini prava i ispunjavanju preostalih privremenih mjerila za poglavlja 23 i 24, u skladu s novom Metodologijom proširenja EU, dok će nova pregovaračka struktura raditi na izradi mape puta za </w:t>
      </w:r>
      <w:r w:rsidRPr="006B26BE">
        <w:rPr>
          <w:rFonts w:ascii="Book Antiqua" w:eastAsia="Calibri" w:hAnsi="Book Antiqua"/>
        </w:rPr>
        <w:t>ispunjavanje završnih mjerila</w:t>
      </w:r>
      <w:r w:rsidR="003667AA" w:rsidRPr="003667AA">
        <w:rPr>
          <w:rFonts w:ascii="Book Antiqua" w:eastAsia="Calibri" w:hAnsi="Book Antiqua"/>
        </w:rPr>
        <w:t>, s akcentom na</w:t>
      </w:r>
      <w:r w:rsidRPr="006B26BE">
        <w:rPr>
          <w:rFonts w:ascii="Book Antiqua" w:eastAsia="Calibri" w:hAnsi="Book Antiqua"/>
        </w:rPr>
        <w:t xml:space="preserve"> ona poglavlja u okviru kojih je postignut najviši nivo spremnosti za privremeno zatvaranje. </w:t>
      </w:r>
    </w:p>
    <w:p w14:paraId="4B438FC2" w14:textId="48BC5B44" w:rsidR="004A176E" w:rsidRPr="006B26BE" w:rsidRDefault="004E6367" w:rsidP="004A176E">
      <w:pPr>
        <w:jc w:val="both"/>
        <w:rPr>
          <w:rFonts w:ascii="Book Antiqua" w:eastAsia="Calibri" w:hAnsi="Book Antiqua"/>
        </w:rPr>
      </w:pPr>
      <w:r w:rsidRPr="006B26BE">
        <w:rPr>
          <w:rFonts w:ascii="Book Antiqua" w:eastAsia="Calibri" w:hAnsi="Book Antiqua"/>
        </w:rPr>
        <w:t xml:space="preserve">U cilju sveobuhvatnog nadzora pregovaračkog procesa, </w:t>
      </w:r>
      <w:r w:rsidR="004A176E" w:rsidRPr="006B26BE">
        <w:rPr>
          <w:rFonts w:ascii="Book Antiqua" w:eastAsia="Calibri" w:hAnsi="Book Antiqua"/>
        </w:rPr>
        <w:t xml:space="preserve">Odbor će nastaviti sa praksom </w:t>
      </w:r>
      <w:r w:rsidR="004A176E" w:rsidRPr="006B26BE">
        <w:rPr>
          <w:rFonts w:ascii="Book Antiqua" w:eastAsia="Calibri" w:hAnsi="Book Antiqua"/>
          <w:u w:val="single"/>
        </w:rPr>
        <w:t>praćenj</w:t>
      </w:r>
      <w:r w:rsidR="009B6EAD" w:rsidRPr="006B26BE">
        <w:rPr>
          <w:rFonts w:ascii="Book Antiqua" w:eastAsia="Calibri" w:hAnsi="Book Antiqua"/>
          <w:u w:val="single"/>
        </w:rPr>
        <w:t>a</w:t>
      </w:r>
      <w:r w:rsidR="004A176E" w:rsidRPr="006B26BE">
        <w:rPr>
          <w:rFonts w:ascii="Book Antiqua" w:eastAsia="Calibri" w:hAnsi="Book Antiqua"/>
          <w:u w:val="single"/>
        </w:rPr>
        <w:t xml:space="preserve"> djelovanja nadležnih institucija i pregovaračke strukture, te sprovođenja ključnih reformi u procesu pristupanja EU,</w:t>
      </w:r>
      <w:r w:rsidR="004A176E" w:rsidRPr="006B26BE">
        <w:rPr>
          <w:rFonts w:ascii="Book Antiqua" w:eastAsia="Calibri" w:hAnsi="Book Antiqua"/>
        </w:rPr>
        <w:t xml:space="preserve"> i to kroz organizovanje tematskih sastanaka i posjeta, okruglih stolova i konsultativnih saslušanja o važni</w:t>
      </w:r>
      <w:r w:rsidRPr="006B26BE">
        <w:rPr>
          <w:rFonts w:ascii="Book Antiqua" w:eastAsia="Calibri" w:hAnsi="Book Antiqua"/>
        </w:rPr>
        <w:t xml:space="preserve">m temama iz procesa pristupanja, kao i </w:t>
      </w:r>
      <w:r w:rsidR="004A176E" w:rsidRPr="006B26BE">
        <w:rPr>
          <w:rFonts w:ascii="Book Antiqua" w:eastAsia="Calibri" w:hAnsi="Book Antiqua"/>
        </w:rPr>
        <w:t>tematsk</w:t>
      </w:r>
      <w:r w:rsidRPr="006B26BE">
        <w:rPr>
          <w:rFonts w:ascii="Book Antiqua" w:eastAsia="Calibri" w:hAnsi="Book Antiqua"/>
        </w:rPr>
        <w:t>ih</w:t>
      </w:r>
      <w:r w:rsidR="004A176E" w:rsidRPr="006B26BE">
        <w:rPr>
          <w:rFonts w:ascii="Book Antiqua" w:eastAsia="Calibri" w:hAnsi="Book Antiqua"/>
        </w:rPr>
        <w:t xml:space="preserve"> sjednic</w:t>
      </w:r>
      <w:r w:rsidRPr="006B26BE">
        <w:rPr>
          <w:rFonts w:ascii="Book Antiqua" w:eastAsia="Calibri" w:hAnsi="Book Antiqua"/>
        </w:rPr>
        <w:t>a</w:t>
      </w:r>
      <w:r w:rsidR="004A176E" w:rsidRPr="006B26BE">
        <w:rPr>
          <w:rFonts w:ascii="Book Antiqua" w:eastAsia="Calibri" w:hAnsi="Book Antiqua"/>
        </w:rPr>
        <w:t xml:space="preserve"> posvećen</w:t>
      </w:r>
      <w:r w:rsidRPr="006B26BE">
        <w:rPr>
          <w:rFonts w:ascii="Book Antiqua" w:eastAsia="Calibri" w:hAnsi="Book Antiqua"/>
        </w:rPr>
        <w:t>ih</w:t>
      </w:r>
      <w:r w:rsidR="004A176E" w:rsidRPr="006B26BE">
        <w:rPr>
          <w:rFonts w:ascii="Book Antiqua" w:eastAsia="Calibri" w:hAnsi="Book Antiqua"/>
        </w:rPr>
        <w:t xml:space="preserve"> najvažnijim poglavljima u pregovaračkom procesu. </w:t>
      </w:r>
    </w:p>
    <w:p w14:paraId="79EED473" w14:textId="0172E8FF" w:rsidR="004A176E" w:rsidRPr="006B26BE" w:rsidRDefault="004A176E" w:rsidP="004A176E">
      <w:pPr>
        <w:jc w:val="both"/>
        <w:rPr>
          <w:rFonts w:ascii="Book Antiqua" w:eastAsia="Calibri" w:hAnsi="Book Antiqua"/>
        </w:rPr>
      </w:pPr>
      <w:r w:rsidRPr="006B26BE">
        <w:rPr>
          <w:rFonts w:ascii="Book Antiqua" w:eastAsia="Calibri" w:hAnsi="Book Antiqua"/>
        </w:rPr>
        <w:t xml:space="preserve">Odbor će </w:t>
      </w:r>
      <w:r w:rsidR="004E6367" w:rsidRPr="006B26BE">
        <w:rPr>
          <w:rFonts w:ascii="Book Antiqua" w:eastAsia="Calibri" w:hAnsi="Book Antiqua"/>
        </w:rPr>
        <w:t>organizovati</w:t>
      </w:r>
      <w:r w:rsidRPr="006B26BE">
        <w:rPr>
          <w:rFonts w:ascii="Book Antiqua" w:eastAsia="Calibri" w:hAnsi="Book Antiqua"/>
        </w:rPr>
        <w:t xml:space="preserve"> </w:t>
      </w:r>
      <w:r w:rsidR="004E6367" w:rsidRPr="006B26BE">
        <w:rPr>
          <w:rFonts w:ascii="Book Antiqua" w:eastAsia="Calibri" w:hAnsi="Book Antiqua"/>
          <w:u w:val="single"/>
        </w:rPr>
        <w:t>aktivnosti usmjerene</w:t>
      </w:r>
      <w:r w:rsidRPr="006B26BE">
        <w:rPr>
          <w:rFonts w:ascii="Book Antiqua" w:eastAsia="Calibri" w:hAnsi="Book Antiqua"/>
          <w:u w:val="single"/>
        </w:rPr>
        <w:t xml:space="preserve"> na promociju evropskih integracija</w:t>
      </w:r>
      <w:r w:rsidRPr="006B26BE">
        <w:rPr>
          <w:rFonts w:ascii="Book Antiqua" w:eastAsia="Calibri" w:hAnsi="Book Antiqua"/>
        </w:rPr>
        <w:t xml:space="preserve">, kroz </w:t>
      </w:r>
      <w:r w:rsidR="004E6367" w:rsidRPr="006B26BE">
        <w:rPr>
          <w:rFonts w:ascii="Book Antiqua" w:eastAsia="Calibri" w:hAnsi="Book Antiqua"/>
        </w:rPr>
        <w:t>saradnju</w:t>
      </w:r>
      <w:r w:rsidRPr="006B26BE">
        <w:rPr>
          <w:rFonts w:ascii="Book Antiqua" w:eastAsia="Calibri" w:hAnsi="Book Antiqua"/>
        </w:rPr>
        <w:t xml:space="preserve"> sa vladinim i nevladinim sektorom, što će obezbijediti bolju informisanost građana, ali i bolju vidljivost učesnika u procesu pristupanja Crne Gore EU i približavanje građanima glavnih prednosti i izazova ovog procesa. </w:t>
      </w:r>
    </w:p>
    <w:p w14:paraId="053B41C6" w14:textId="5DBF9527" w:rsidR="007040F0" w:rsidRPr="00E6006E" w:rsidRDefault="004A176E" w:rsidP="00E6006E">
      <w:pPr>
        <w:jc w:val="both"/>
        <w:rPr>
          <w:rFonts w:ascii="Book Antiqua" w:eastAsia="Calibri" w:hAnsi="Book Antiqua"/>
        </w:rPr>
      </w:pPr>
      <w:r w:rsidRPr="006B26BE">
        <w:rPr>
          <w:rFonts w:ascii="Book Antiqua" w:eastAsia="Calibri" w:hAnsi="Book Antiqua"/>
        </w:rPr>
        <w:t xml:space="preserve">Uvažavajući značaj </w:t>
      </w:r>
      <w:r w:rsidRPr="006B26BE">
        <w:rPr>
          <w:rFonts w:ascii="Book Antiqua" w:eastAsia="Calibri" w:hAnsi="Book Antiqua"/>
          <w:u w:val="single"/>
        </w:rPr>
        <w:t>parlamentarne diplomatije</w:t>
      </w:r>
      <w:r w:rsidRPr="006B26BE">
        <w:rPr>
          <w:rFonts w:ascii="Book Antiqua" w:eastAsia="Calibri" w:hAnsi="Book Antiqua"/>
        </w:rPr>
        <w:t xml:space="preserve"> u trenutnoj fazi procesa pristupanja Uniji i potrebu obezbjeđivanja podrške država članica EU za reformske procese u Crnoj Gori i kredibilnost postignutih rezultata, Odbor će nastaviti da </w:t>
      </w:r>
      <w:r w:rsidRPr="006B26BE">
        <w:rPr>
          <w:rFonts w:ascii="Book Antiqua" w:eastAsia="Calibri" w:hAnsi="Book Antiqua"/>
          <w:u w:val="single"/>
        </w:rPr>
        <w:t>razmjenjuje iskustva i informiše evropske partnere o ostvarenom napretku i izazovima</w:t>
      </w:r>
      <w:r w:rsidRPr="006B26BE">
        <w:rPr>
          <w:rFonts w:ascii="Book Antiqua" w:eastAsia="Calibri" w:hAnsi="Book Antiqua"/>
        </w:rPr>
        <w:t xml:space="preserve"> koje proces pregovora donosi državi, sa ciljem ubrzanja pregovaračkog procesa. Isto tako, Odbor će nastaviti da prenosi svoja iskustva državama koje su na početku pregovaračkog </w:t>
      </w:r>
      <w:r w:rsidRPr="006B26BE">
        <w:rPr>
          <w:rFonts w:ascii="Book Antiqua" w:eastAsia="Calibri" w:hAnsi="Book Antiqua"/>
        </w:rPr>
        <w:lastRenderedPageBreak/>
        <w:t>procesa, u cilju unapređenja regionalne saradnje, kao važnog elementa procesa</w:t>
      </w:r>
      <w:r w:rsidRPr="00A742A9">
        <w:rPr>
          <w:rFonts w:ascii="Book Antiqua" w:eastAsia="Calibri" w:hAnsi="Book Antiqua"/>
        </w:rPr>
        <w:t xml:space="preserve"> </w:t>
      </w:r>
      <w:r>
        <w:rPr>
          <w:rFonts w:ascii="Book Antiqua" w:eastAsia="Calibri" w:hAnsi="Book Antiqua"/>
        </w:rPr>
        <w:t>evrop</w:t>
      </w:r>
      <w:r w:rsidR="004E6367">
        <w:rPr>
          <w:rFonts w:ascii="Book Antiqua" w:eastAsia="Calibri" w:hAnsi="Book Antiqua"/>
        </w:rPr>
        <w:t>sk</w:t>
      </w:r>
      <w:r>
        <w:rPr>
          <w:rFonts w:ascii="Book Antiqua" w:eastAsia="Calibri" w:hAnsi="Book Antiqua"/>
        </w:rPr>
        <w:t xml:space="preserve">ih </w:t>
      </w:r>
      <w:r w:rsidRPr="00A742A9">
        <w:rPr>
          <w:rFonts w:ascii="Book Antiqua" w:eastAsia="Calibri" w:hAnsi="Book Antiqua"/>
        </w:rPr>
        <w:t>integracija</w:t>
      </w:r>
      <w:r>
        <w:rPr>
          <w:rFonts w:ascii="Book Antiqua" w:eastAsia="Calibri" w:hAnsi="Book Antiqua"/>
        </w:rPr>
        <w:t xml:space="preserve"> Zapa</w:t>
      </w:r>
      <w:r w:rsidR="00E6006E">
        <w:rPr>
          <w:rFonts w:ascii="Book Antiqua" w:eastAsia="Calibri" w:hAnsi="Book Antiqua"/>
        </w:rPr>
        <w:t>d</w:t>
      </w:r>
      <w:r>
        <w:rPr>
          <w:rFonts w:ascii="Book Antiqua" w:eastAsia="Calibri" w:hAnsi="Book Antiqua"/>
        </w:rPr>
        <w:t>nog Balkana</w:t>
      </w:r>
      <w:r w:rsidRPr="00A742A9">
        <w:rPr>
          <w:rFonts w:ascii="Book Antiqua" w:eastAsia="Calibri" w:hAnsi="Book Antiqua"/>
        </w:rPr>
        <w:t>.</w:t>
      </w:r>
    </w:p>
    <w:p w14:paraId="2651C67C" w14:textId="77777777" w:rsidR="0078155C" w:rsidRDefault="0078155C" w:rsidP="00837E3A">
      <w:pPr>
        <w:rPr>
          <w:rFonts w:ascii="Book Antiqua" w:hAnsi="Book Antiqua"/>
          <w:b/>
          <w:color w:val="C00000"/>
          <w:sz w:val="34"/>
          <w:szCs w:val="34"/>
        </w:rPr>
      </w:pPr>
    </w:p>
    <w:p w14:paraId="7DE9F63A" w14:textId="0249B0B8" w:rsidR="00AA2217" w:rsidRPr="008D5077" w:rsidRDefault="006D277B" w:rsidP="00837E3A">
      <w:pPr>
        <w:rPr>
          <w:rFonts w:ascii="Book Antiqua" w:hAnsi="Book Antiqua"/>
          <w:b/>
          <w:color w:val="C00000"/>
          <w:sz w:val="34"/>
          <w:szCs w:val="34"/>
        </w:rPr>
      </w:pPr>
      <w:r w:rsidRPr="008D5077">
        <w:rPr>
          <w:rFonts w:ascii="Book Antiqua" w:hAnsi="Book Antiqua"/>
          <w:b/>
          <w:color w:val="C00000"/>
          <w:sz w:val="34"/>
          <w:szCs w:val="34"/>
        </w:rPr>
        <w:t xml:space="preserve">II </w:t>
      </w:r>
      <w:r w:rsidR="004C5506" w:rsidRPr="008D5077">
        <w:rPr>
          <w:rFonts w:ascii="Book Antiqua" w:hAnsi="Book Antiqua"/>
          <w:b/>
          <w:color w:val="C00000"/>
          <w:sz w:val="34"/>
          <w:szCs w:val="34"/>
        </w:rPr>
        <w:t>Kontrolna uloga</w:t>
      </w:r>
    </w:p>
    <w:p w14:paraId="568147C4" w14:textId="2B107DA8" w:rsidR="00885B15" w:rsidRDefault="00FC111C" w:rsidP="00885B15">
      <w:pPr>
        <w:jc w:val="both"/>
        <w:rPr>
          <w:rFonts w:ascii="Book Antiqua" w:eastAsia="Calibri" w:hAnsi="Book Antiqua"/>
          <w:b/>
        </w:rPr>
      </w:pPr>
      <w:r>
        <w:rPr>
          <w:rFonts w:ascii="Book Antiqua" w:hAnsi="Book Antiqua"/>
          <w:b/>
          <w:color w:val="C00000"/>
          <w:sz w:val="36"/>
          <w:szCs w:val="36"/>
        </w:rPr>
        <w:br/>
      </w:r>
      <w:r w:rsidR="00AA2217" w:rsidRPr="00382972">
        <w:rPr>
          <w:rFonts w:ascii="Book Antiqua" w:hAnsi="Book Antiqua"/>
        </w:rPr>
        <w:t xml:space="preserve">U skladu sa poslovničkim nadležnostima, primarni cilj u radu Odbora za evropske integracije i dalje će biti nadgledanje toka pregovora o pristupanju Evropskoj uniji. Tokom ove godine u fokusu će </w:t>
      </w:r>
      <w:r w:rsidR="00885B15">
        <w:rPr>
          <w:rFonts w:ascii="Book Antiqua" w:hAnsi="Book Antiqua"/>
        </w:rPr>
        <w:t>biti interna spremnost Crne Gore za zatvaranje pregovaračkih poglavlja (ukupno 30 otvorenih poglavlja)</w:t>
      </w:r>
      <w:r w:rsidR="00AA2217">
        <w:rPr>
          <w:rFonts w:ascii="Book Antiqua" w:hAnsi="Book Antiqua"/>
        </w:rPr>
        <w:t xml:space="preserve">. </w:t>
      </w:r>
      <w:r w:rsidR="00885B15" w:rsidRPr="00A742A9">
        <w:rPr>
          <w:rFonts w:ascii="Book Antiqua" w:eastAsia="Calibri" w:hAnsi="Book Antiqua"/>
        </w:rPr>
        <w:t xml:space="preserve">Kroz redovnu komunikaciju sa cjelokupnom pregovaračkom strukturom, glavnim pregovaračem, članovima Pregovaračke grupe i rukovodiocima radnih grupa za pojedina </w:t>
      </w:r>
      <w:r w:rsidR="00885B15">
        <w:rPr>
          <w:rFonts w:ascii="Book Antiqua" w:eastAsia="Calibri" w:hAnsi="Book Antiqua"/>
        </w:rPr>
        <w:t xml:space="preserve">pregovaračka </w:t>
      </w:r>
      <w:r w:rsidR="00885B15" w:rsidRPr="00A742A9">
        <w:rPr>
          <w:rFonts w:ascii="Book Antiqua" w:eastAsia="Calibri" w:hAnsi="Book Antiqua"/>
        </w:rPr>
        <w:t>poglavlja, kao i predstavnicima Delegacije Evropske unije u Crnoj Gori, članovi Odbora će razmatrati sprovođenje obaveza iz pregovaračkog procesa neophodnih za ispunjavanje mjerila za zatvaranje otvorenih poglavlja</w:t>
      </w:r>
      <w:r w:rsidR="00885B15" w:rsidRPr="00A742A9">
        <w:rPr>
          <w:rFonts w:ascii="Book Antiqua" w:eastAsia="Calibri" w:hAnsi="Book Antiqua"/>
          <w:b/>
        </w:rPr>
        <w:t xml:space="preserve">. </w:t>
      </w:r>
    </w:p>
    <w:p w14:paraId="23EDC465" w14:textId="79680764" w:rsidR="0029644D" w:rsidRDefault="00885B15" w:rsidP="00885B15">
      <w:pPr>
        <w:jc w:val="both"/>
        <w:rPr>
          <w:rFonts w:ascii="Book Antiqua" w:hAnsi="Book Antiqua"/>
        </w:rPr>
      </w:pPr>
      <w:r w:rsidRPr="00382972">
        <w:rPr>
          <w:rFonts w:ascii="Book Antiqua" w:hAnsi="Book Antiqua"/>
        </w:rPr>
        <w:t xml:space="preserve">Odbor će, u saradnji sa glavnim pregovaračem i njegovim timom </w:t>
      </w:r>
      <w:r>
        <w:rPr>
          <w:rFonts w:ascii="Book Antiqua" w:hAnsi="Book Antiqua"/>
        </w:rPr>
        <w:t>iz</w:t>
      </w:r>
      <w:r w:rsidRPr="00382972">
        <w:rPr>
          <w:rFonts w:ascii="Book Antiqua" w:hAnsi="Book Antiqua"/>
        </w:rPr>
        <w:t xml:space="preserve"> Kance</w:t>
      </w:r>
      <w:r>
        <w:rPr>
          <w:rFonts w:ascii="Book Antiqua" w:hAnsi="Book Antiqua"/>
        </w:rPr>
        <w:t>larije za evropske integracije, ocjenjivati strateška dokumenta iz integracionog procesa</w:t>
      </w:r>
      <w:r w:rsidRPr="00382972">
        <w:rPr>
          <w:rFonts w:ascii="Book Antiqua" w:hAnsi="Book Antiqua"/>
        </w:rPr>
        <w:t xml:space="preserve">, čime će ostvarivati svoju </w:t>
      </w:r>
      <w:r>
        <w:rPr>
          <w:rFonts w:ascii="Book Antiqua" w:hAnsi="Book Antiqua"/>
        </w:rPr>
        <w:t xml:space="preserve">primarnu </w:t>
      </w:r>
      <w:r w:rsidRPr="00382972">
        <w:rPr>
          <w:rFonts w:ascii="Book Antiqua" w:hAnsi="Book Antiqua"/>
        </w:rPr>
        <w:t>kontrolnu</w:t>
      </w:r>
      <w:r>
        <w:rPr>
          <w:rFonts w:ascii="Book Antiqua" w:hAnsi="Book Antiqua"/>
        </w:rPr>
        <w:t xml:space="preserve"> ulogu</w:t>
      </w:r>
      <w:r w:rsidRPr="00382972">
        <w:rPr>
          <w:rFonts w:ascii="Book Antiqua" w:hAnsi="Book Antiqua"/>
        </w:rPr>
        <w:t xml:space="preserve">. Ovo se, između ostalog, odnosi na </w:t>
      </w:r>
      <w:r>
        <w:rPr>
          <w:rFonts w:ascii="Book Antiqua" w:eastAsia="Calibri" w:hAnsi="Book Antiqua"/>
        </w:rPr>
        <w:t xml:space="preserve">polugodišnje i </w:t>
      </w:r>
      <w:r w:rsidRPr="00A742A9">
        <w:rPr>
          <w:rFonts w:ascii="Book Antiqua" w:eastAsia="Calibri" w:hAnsi="Book Antiqua"/>
        </w:rPr>
        <w:t>kvartalne izvještaje o ukupnim aktivnostima u procesu evropskih integracija Crne Gore</w:t>
      </w:r>
      <w:r>
        <w:rPr>
          <w:rFonts w:ascii="Book Antiqua" w:eastAsia="Calibri" w:hAnsi="Book Antiqua"/>
        </w:rPr>
        <w:t>, kao i na</w:t>
      </w:r>
      <w:r w:rsidRPr="00A742A9">
        <w:rPr>
          <w:rFonts w:ascii="Book Antiqua" w:eastAsia="Calibri" w:hAnsi="Book Antiqua"/>
        </w:rPr>
        <w:t xml:space="preserve"> Program pristupanja Crne Gore Evropskoj uniji i izvještaje o realizaciji obaveza iz Programa</w:t>
      </w:r>
      <w:r w:rsidRPr="00382972">
        <w:rPr>
          <w:rFonts w:ascii="Book Antiqua" w:hAnsi="Book Antiqua"/>
        </w:rPr>
        <w:t xml:space="preserve">. </w:t>
      </w:r>
      <w:r w:rsidR="0029644D" w:rsidRPr="00382972">
        <w:rPr>
          <w:rFonts w:ascii="Book Antiqua" w:hAnsi="Book Antiqua"/>
        </w:rPr>
        <w:t xml:space="preserve">U skladu sa dosadašnjom praksom, Odbor će </w:t>
      </w:r>
      <w:r w:rsidR="0029644D">
        <w:rPr>
          <w:rFonts w:ascii="Book Antiqua" w:hAnsi="Book Antiqua"/>
        </w:rPr>
        <w:t>o</w:t>
      </w:r>
      <w:r w:rsidR="0029644D" w:rsidRPr="00382972">
        <w:rPr>
          <w:rFonts w:ascii="Book Antiqua" w:hAnsi="Book Antiqua"/>
        </w:rPr>
        <w:t xml:space="preserve"> polugodišnj</w:t>
      </w:r>
      <w:r w:rsidR="0029644D">
        <w:rPr>
          <w:rFonts w:ascii="Book Antiqua" w:hAnsi="Book Antiqua"/>
        </w:rPr>
        <w:t>im</w:t>
      </w:r>
      <w:r w:rsidR="0029644D" w:rsidRPr="00382972">
        <w:rPr>
          <w:rFonts w:ascii="Book Antiqua" w:hAnsi="Book Antiqua"/>
        </w:rPr>
        <w:t xml:space="preserve"> izvještaj</w:t>
      </w:r>
      <w:r w:rsidR="0029644D">
        <w:rPr>
          <w:rFonts w:ascii="Book Antiqua" w:hAnsi="Book Antiqua"/>
        </w:rPr>
        <w:t>ima</w:t>
      </w:r>
      <w:r w:rsidR="0029644D" w:rsidRPr="00382972">
        <w:rPr>
          <w:rFonts w:ascii="Book Antiqua" w:hAnsi="Book Antiqua"/>
        </w:rPr>
        <w:t xml:space="preserve"> o ukupnim aktivnostima </w:t>
      </w:r>
      <w:r w:rsidR="0029644D">
        <w:rPr>
          <w:rFonts w:ascii="Book Antiqua" w:hAnsi="Book Antiqua"/>
        </w:rPr>
        <w:t xml:space="preserve">u </w:t>
      </w:r>
      <w:r w:rsidR="0029644D" w:rsidRPr="00382972">
        <w:rPr>
          <w:rFonts w:ascii="Book Antiqua" w:hAnsi="Book Antiqua"/>
        </w:rPr>
        <w:t>proces</w:t>
      </w:r>
      <w:r w:rsidR="0029644D">
        <w:rPr>
          <w:rFonts w:ascii="Book Antiqua" w:hAnsi="Book Antiqua"/>
        </w:rPr>
        <w:t>u</w:t>
      </w:r>
      <w:r w:rsidR="0029644D" w:rsidRPr="00382972">
        <w:rPr>
          <w:rFonts w:ascii="Book Antiqua" w:hAnsi="Book Antiqua"/>
        </w:rPr>
        <w:t xml:space="preserve"> integracija Crne Gore u EU svoj stav iznositi prilikom razmatranja izvještaja na plenarnim zasijedanjima Skupštine.</w:t>
      </w:r>
    </w:p>
    <w:p w14:paraId="19452496" w14:textId="0C993E60" w:rsidR="009E0318" w:rsidRPr="009E0318" w:rsidRDefault="00885B15" w:rsidP="00885B15">
      <w:pPr>
        <w:jc w:val="both"/>
        <w:rPr>
          <w:rFonts w:ascii="Book Antiqua" w:hAnsi="Book Antiqua"/>
        </w:rPr>
      </w:pPr>
      <w:r w:rsidRPr="00382972">
        <w:rPr>
          <w:rFonts w:ascii="Book Antiqua" w:hAnsi="Book Antiqua"/>
        </w:rPr>
        <w:t>Pored toga, članovi Odbora će razmatrati realizovane aktivnosti u pogledu korišćenja sredstava iz Instrumenta za pretpristupnu podršku (IPA), kako u prethodno</w:t>
      </w:r>
      <w:r>
        <w:rPr>
          <w:rFonts w:ascii="Book Antiqua" w:hAnsi="Book Antiqua"/>
        </w:rPr>
        <w:t>j finansijskoj perspektivi IPA I (2007–</w:t>
      </w:r>
      <w:r w:rsidRPr="00382972">
        <w:rPr>
          <w:rFonts w:ascii="Book Antiqua" w:hAnsi="Book Antiqua"/>
        </w:rPr>
        <w:t>2013</w:t>
      </w:r>
      <w:r>
        <w:rPr>
          <w:rFonts w:ascii="Book Antiqua" w:hAnsi="Book Antiqua"/>
        </w:rPr>
        <w:t>)</w:t>
      </w:r>
      <w:r w:rsidRPr="00382972">
        <w:rPr>
          <w:rFonts w:ascii="Book Antiqua" w:hAnsi="Book Antiqua"/>
        </w:rPr>
        <w:t>, tako i u trenutno</w:t>
      </w:r>
      <w:r>
        <w:rPr>
          <w:rFonts w:ascii="Book Antiqua" w:hAnsi="Book Antiqua"/>
        </w:rPr>
        <w:t>j finansijskoj perspektivi IPA II (2014–</w:t>
      </w:r>
      <w:r w:rsidRPr="00382972">
        <w:rPr>
          <w:rFonts w:ascii="Book Antiqua" w:hAnsi="Book Antiqua"/>
        </w:rPr>
        <w:t>2020</w:t>
      </w:r>
      <w:r>
        <w:rPr>
          <w:rFonts w:ascii="Book Antiqua" w:hAnsi="Book Antiqua"/>
        </w:rPr>
        <w:t>), ali i narednoj finansijskoj perspektivi IPA III (2021-2027)</w:t>
      </w:r>
      <w:r w:rsidRPr="00382972">
        <w:rPr>
          <w:rFonts w:ascii="Book Antiqua" w:hAnsi="Book Antiqua"/>
        </w:rPr>
        <w:t xml:space="preserve">. </w:t>
      </w:r>
    </w:p>
    <w:p w14:paraId="5849AE01" w14:textId="77777777" w:rsidR="009E0318" w:rsidRDefault="00885B15" w:rsidP="00885B15">
      <w:pPr>
        <w:jc w:val="both"/>
        <w:rPr>
          <w:rFonts w:ascii="Book Antiqua" w:eastAsia="Calibri" w:hAnsi="Book Antiqua"/>
        </w:rPr>
      </w:pPr>
      <w:r>
        <w:rPr>
          <w:rFonts w:ascii="Book Antiqua" w:eastAsia="Calibri" w:hAnsi="Book Antiqua"/>
        </w:rPr>
        <w:t xml:space="preserve">Jedna od </w:t>
      </w:r>
      <w:r w:rsidR="009E0318">
        <w:rPr>
          <w:rFonts w:ascii="Book Antiqua" w:eastAsia="Calibri" w:hAnsi="Book Antiqua"/>
        </w:rPr>
        <w:t>ključnih</w:t>
      </w:r>
      <w:r>
        <w:rPr>
          <w:rFonts w:ascii="Book Antiqua" w:eastAsia="Calibri" w:hAnsi="Book Antiqua"/>
        </w:rPr>
        <w:t xml:space="preserve"> </w:t>
      </w:r>
      <w:r w:rsidR="009E0318">
        <w:rPr>
          <w:rFonts w:ascii="Book Antiqua" w:eastAsia="Calibri" w:hAnsi="Book Antiqua"/>
        </w:rPr>
        <w:t xml:space="preserve">redovnih </w:t>
      </w:r>
      <w:r>
        <w:rPr>
          <w:rFonts w:ascii="Book Antiqua" w:eastAsia="Calibri" w:hAnsi="Book Antiqua"/>
        </w:rPr>
        <w:t xml:space="preserve">aktivnosti Odbora biće i razmatranje </w:t>
      </w:r>
      <w:r w:rsidR="009E0318">
        <w:rPr>
          <w:rFonts w:ascii="Book Antiqua" w:eastAsia="Calibri" w:hAnsi="Book Antiqua"/>
        </w:rPr>
        <w:t xml:space="preserve">dokumenata institucija EU o napretku Crne Gore u procesu pristupanja EU, i to: </w:t>
      </w:r>
    </w:p>
    <w:p w14:paraId="00FE1402" w14:textId="5A5FAD31" w:rsidR="009E0318" w:rsidRDefault="009E0318" w:rsidP="009E0318">
      <w:pPr>
        <w:pStyle w:val="ListParagraph"/>
        <w:numPr>
          <w:ilvl w:val="0"/>
          <w:numId w:val="9"/>
        </w:numPr>
        <w:jc w:val="both"/>
        <w:rPr>
          <w:rFonts w:ascii="Book Antiqua" w:eastAsia="Calibri" w:hAnsi="Book Antiqua"/>
        </w:rPr>
      </w:pPr>
      <w:r>
        <w:rPr>
          <w:rFonts w:ascii="Book Antiqua" w:eastAsia="Calibri" w:hAnsi="Book Antiqua"/>
        </w:rPr>
        <w:t xml:space="preserve">Izvještaja Evropske komisije o Crnoj Gori za 2021. godinu; </w:t>
      </w:r>
    </w:p>
    <w:p w14:paraId="1E8A30D5" w14:textId="77777777" w:rsidR="009E0318" w:rsidRDefault="00885B15" w:rsidP="009E0318">
      <w:pPr>
        <w:pStyle w:val="ListParagraph"/>
        <w:numPr>
          <w:ilvl w:val="0"/>
          <w:numId w:val="9"/>
        </w:numPr>
        <w:jc w:val="both"/>
        <w:rPr>
          <w:rFonts w:ascii="Book Antiqua" w:eastAsia="Calibri" w:hAnsi="Book Antiqua"/>
        </w:rPr>
      </w:pPr>
      <w:r w:rsidRPr="009E0318">
        <w:rPr>
          <w:rFonts w:ascii="Book Antiqua" w:eastAsia="Calibri" w:hAnsi="Book Antiqua"/>
        </w:rPr>
        <w:t>nezvaničnih radnih dokumenata Evropske komisije o stanju u poglavljima 23 i 24, što će odrediti ukupnu</w:t>
      </w:r>
      <w:r w:rsidR="009E0318">
        <w:rPr>
          <w:rFonts w:ascii="Book Antiqua" w:eastAsia="Calibri" w:hAnsi="Book Antiqua"/>
        </w:rPr>
        <w:t xml:space="preserve"> dinamiku pregovaračkog procesa; </w:t>
      </w:r>
    </w:p>
    <w:p w14:paraId="38AAFF53" w14:textId="7E9A9C93" w:rsidR="00885B15" w:rsidRPr="009E0318" w:rsidRDefault="009E0318" w:rsidP="009E0318">
      <w:pPr>
        <w:pStyle w:val="ListParagraph"/>
        <w:numPr>
          <w:ilvl w:val="0"/>
          <w:numId w:val="9"/>
        </w:numPr>
        <w:jc w:val="both"/>
        <w:rPr>
          <w:rFonts w:ascii="Book Antiqua" w:eastAsia="Calibri" w:hAnsi="Book Antiqua"/>
        </w:rPr>
      </w:pPr>
      <w:r>
        <w:rPr>
          <w:rFonts w:ascii="Book Antiqua" w:eastAsia="Calibri" w:hAnsi="Book Antiqua"/>
        </w:rPr>
        <w:t xml:space="preserve">Rezolucije Evropskog parlamenta o Crnoj Gori iz 2021. godine. </w:t>
      </w:r>
      <w:r w:rsidR="00885B15" w:rsidRPr="009E0318">
        <w:rPr>
          <w:rFonts w:ascii="Book Antiqua" w:eastAsia="Calibri" w:hAnsi="Book Antiqua"/>
        </w:rPr>
        <w:t xml:space="preserve"> </w:t>
      </w:r>
    </w:p>
    <w:p w14:paraId="35A75899" w14:textId="3A067210" w:rsidR="00AA2217" w:rsidRPr="006B26BE" w:rsidRDefault="00885B15" w:rsidP="00FB7900">
      <w:pPr>
        <w:jc w:val="both"/>
        <w:rPr>
          <w:rFonts w:ascii="Book Antiqua" w:eastAsia="Calibri" w:hAnsi="Book Antiqua"/>
        </w:rPr>
      </w:pPr>
      <w:r w:rsidRPr="00A742A9">
        <w:rPr>
          <w:rFonts w:ascii="Book Antiqua" w:eastAsia="Calibri" w:hAnsi="Book Antiqua"/>
        </w:rPr>
        <w:t>Odbor će pratiti raspravu na sjednicama Parlamentarnog odbora za stabilizaciju i pridruživanje Skupštine Crne Gore i Evropskog parlamenta</w:t>
      </w:r>
      <w:r>
        <w:rPr>
          <w:rFonts w:ascii="Book Antiqua" w:eastAsia="Calibri" w:hAnsi="Book Antiqua"/>
        </w:rPr>
        <w:t xml:space="preserve"> (POSP)</w:t>
      </w:r>
      <w:r w:rsidRPr="00A742A9">
        <w:rPr>
          <w:rFonts w:ascii="Book Antiqua" w:eastAsia="Calibri" w:hAnsi="Book Antiqua"/>
        </w:rPr>
        <w:t xml:space="preserve"> </w:t>
      </w:r>
      <w:r>
        <w:rPr>
          <w:rFonts w:ascii="Book Antiqua" w:eastAsia="Calibri" w:hAnsi="Book Antiqua"/>
        </w:rPr>
        <w:t xml:space="preserve">i razmatrati ispunjavanje preporuka POSP-a od strane nadležnih institucija, ali </w:t>
      </w:r>
      <w:r w:rsidRPr="00A742A9">
        <w:rPr>
          <w:rFonts w:ascii="Book Antiqua" w:eastAsia="Calibri" w:hAnsi="Book Antiqua"/>
        </w:rPr>
        <w:t xml:space="preserve">i organizovati </w:t>
      </w:r>
      <w:r w:rsidRPr="006B26BE">
        <w:rPr>
          <w:rFonts w:ascii="Book Antiqua" w:eastAsia="Calibri" w:hAnsi="Book Antiqua"/>
        </w:rPr>
        <w:t>tematske sjednice u vezi sa pitanjima u okviru trenutne faze procesa integracija, za koja smatra da su od posebnog značaja za proces i za građane Crne Gore.</w:t>
      </w:r>
    </w:p>
    <w:p w14:paraId="73A30FBF" w14:textId="5B859A31" w:rsidR="00AA2217" w:rsidRDefault="00FB7900" w:rsidP="00FB7900">
      <w:pPr>
        <w:jc w:val="both"/>
        <w:rPr>
          <w:rFonts w:ascii="Book Antiqua" w:eastAsia="Calibri" w:hAnsi="Book Antiqua"/>
        </w:rPr>
      </w:pPr>
      <w:r w:rsidRPr="006B26BE">
        <w:rPr>
          <w:rFonts w:ascii="Book Antiqua" w:eastAsia="Calibri" w:hAnsi="Book Antiqua"/>
        </w:rPr>
        <w:t xml:space="preserve">Plan rada Odbora u dijelu razmatranja izvještaja Vlade Crne Gore (Kancelarije za evropske integracije) usklađen je sa Programom rada Vlade Crne Gore za 2021. </w:t>
      </w:r>
      <w:r w:rsidR="00BA000E" w:rsidRPr="006B26BE">
        <w:rPr>
          <w:rFonts w:ascii="Book Antiqua" w:eastAsia="Calibri" w:hAnsi="Book Antiqua"/>
        </w:rPr>
        <w:t>godinu</w:t>
      </w:r>
      <w:r w:rsidR="009B6EAD" w:rsidRPr="006B26BE">
        <w:rPr>
          <w:rFonts w:ascii="Book Antiqua" w:eastAsia="Calibri" w:hAnsi="Book Antiqua"/>
        </w:rPr>
        <w:t>, kao i sa smjernicama i agendom evropskih institucija</w:t>
      </w:r>
      <w:r w:rsidR="00BA000E" w:rsidRPr="006B26BE">
        <w:rPr>
          <w:rFonts w:ascii="Book Antiqua" w:eastAsia="Calibri" w:hAnsi="Book Antiqua"/>
        </w:rPr>
        <w:t>.</w:t>
      </w:r>
    </w:p>
    <w:p w14:paraId="22A19D68" w14:textId="77777777" w:rsidR="00FB7900" w:rsidRDefault="00FB7900" w:rsidP="00837E3A">
      <w:pPr>
        <w:rPr>
          <w:rFonts w:ascii="Book Antiqua" w:eastAsia="Calibri" w:hAnsi="Book Antiqua"/>
        </w:rPr>
      </w:pPr>
    </w:p>
    <w:p w14:paraId="4E0028A1" w14:textId="77777777" w:rsidR="00FB7900" w:rsidRDefault="00FB7900" w:rsidP="00837E3A">
      <w:pPr>
        <w:rPr>
          <w:rFonts w:ascii="Book Antiqua" w:eastAsia="Calibri" w:hAnsi="Book Antiqua"/>
        </w:rPr>
      </w:pPr>
    </w:p>
    <w:p w14:paraId="4646162B" w14:textId="768510D7" w:rsidR="00AA2217" w:rsidRPr="005F4963" w:rsidRDefault="00AA2217" w:rsidP="00AA2217">
      <w:pPr>
        <w:rPr>
          <w:rFonts w:ascii="Book Antiqua" w:hAnsi="Book Antiqua"/>
          <w:b/>
          <w:color w:val="C00000"/>
          <w:sz w:val="34"/>
          <w:szCs w:val="34"/>
        </w:rPr>
      </w:pPr>
      <w:r w:rsidRPr="006B26BE">
        <w:rPr>
          <w:rFonts w:ascii="Book Antiqua" w:hAnsi="Book Antiqua"/>
          <w:b/>
          <w:i/>
          <w:color w:val="C00000"/>
          <w:sz w:val="34"/>
          <w:szCs w:val="34"/>
        </w:rPr>
        <w:lastRenderedPageBreak/>
        <w:t>a)</w:t>
      </w:r>
      <w:r w:rsidRPr="006B26BE">
        <w:rPr>
          <w:rFonts w:ascii="Book Antiqua" w:hAnsi="Book Antiqua"/>
          <w:b/>
          <w:color w:val="C00000"/>
          <w:sz w:val="34"/>
          <w:szCs w:val="34"/>
        </w:rPr>
        <w:t xml:space="preserve"> </w:t>
      </w:r>
      <w:r w:rsidR="009C21EC" w:rsidRPr="006B26BE">
        <w:rPr>
          <w:rFonts w:ascii="Book Antiqua" w:hAnsi="Book Antiqua"/>
          <w:b/>
          <w:i/>
          <w:color w:val="C00000"/>
          <w:sz w:val="34"/>
          <w:szCs w:val="34"/>
        </w:rPr>
        <w:t>Nadzor: redovne sjednice</w:t>
      </w:r>
    </w:p>
    <w:p w14:paraId="10FFF426" w14:textId="77777777" w:rsidR="00AA2217" w:rsidRPr="006D277B" w:rsidRDefault="00AA2217" w:rsidP="00837E3A">
      <w:pPr>
        <w:rPr>
          <w:rFonts w:ascii="Book Antiqua" w:hAnsi="Book Antiqua"/>
          <w:b/>
          <w:color w:val="C00000"/>
          <w:sz w:val="36"/>
          <w:szCs w:val="36"/>
        </w:rPr>
      </w:pPr>
    </w:p>
    <w:tbl>
      <w:tblPr>
        <w:tblStyle w:val="PlainTable31"/>
        <w:tblW w:w="9209" w:type="dxa"/>
        <w:tblLayout w:type="fixed"/>
        <w:tblLook w:val="04A0" w:firstRow="1" w:lastRow="0" w:firstColumn="1" w:lastColumn="0" w:noHBand="0" w:noVBand="1"/>
      </w:tblPr>
      <w:tblGrid>
        <w:gridCol w:w="2694"/>
        <w:gridCol w:w="2976"/>
        <w:gridCol w:w="1271"/>
        <w:gridCol w:w="2268"/>
      </w:tblGrid>
      <w:tr w:rsidR="006D277B" w:rsidRPr="004820CC" w14:paraId="7545FD83" w14:textId="77777777" w:rsidTr="004820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9A5588D" w14:textId="77777777" w:rsidR="004C5506" w:rsidRPr="004820CC" w:rsidRDefault="004C5506" w:rsidP="00BC0B68">
            <w:pPr>
              <w:spacing w:after="120"/>
              <w:jc w:val="center"/>
              <w:rPr>
                <w:rFonts w:ascii="Book Antiqua" w:hAnsi="Book Antiqua"/>
                <w:b w:val="0"/>
                <w:sz w:val="22"/>
                <w:szCs w:val="22"/>
              </w:rPr>
            </w:pPr>
            <w:r w:rsidRPr="004820CC">
              <w:rPr>
                <w:rFonts w:ascii="Book Antiqua" w:hAnsi="Book Antiqua"/>
                <w:sz w:val="22"/>
                <w:szCs w:val="22"/>
              </w:rPr>
              <w:t>TEMA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42EF55" w14:textId="77777777" w:rsidR="004C5506" w:rsidRPr="004820CC" w:rsidRDefault="004C5506" w:rsidP="00BC0B68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sz w:val="22"/>
                <w:szCs w:val="22"/>
              </w:rPr>
            </w:pPr>
            <w:r w:rsidRPr="004820CC">
              <w:rPr>
                <w:rFonts w:ascii="Book Antiqua" w:hAnsi="Book Antiqua"/>
                <w:sz w:val="22"/>
                <w:szCs w:val="22"/>
              </w:rPr>
              <w:t>OPIS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48871" w14:textId="77777777" w:rsidR="004C5506" w:rsidRPr="004820CC" w:rsidRDefault="004C5506" w:rsidP="00BC0B68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sz w:val="22"/>
                <w:szCs w:val="22"/>
              </w:rPr>
            </w:pPr>
            <w:r w:rsidRPr="004820CC">
              <w:rPr>
                <w:rFonts w:ascii="Book Antiqua" w:hAnsi="Book Antiqua"/>
                <w:sz w:val="22"/>
                <w:szCs w:val="22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53147F" w14:textId="69C672B3" w:rsidR="004C5506" w:rsidRPr="004820CC" w:rsidRDefault="00D63E20" w:rsidP="00BC0B68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sz w:val="22"/>
                <w:szCs w:val="22"/>
                <w:highlight w:val="yellow"/>
              </w:rPr>
            </w:pPr>
            <w:r w:rsidRPr="004820CC">
              <w:rPr>
                <w:rFonts w:ascii="Book Antiqua" w:hAnsi="Book Antiqua"/>
                <w:sz w:val="22"/>
                <w:szCs w:val="22"/>
              </w:rPr>
              <w:t>UČEŠĆe na sjedNICI</w:t>
            </w:r>
          </w:p>
        </w:tc>
      </w:tr>
      <w:tr w:rsidR="006025D1" w:rsidRPr="006025D1" w14:paraId="5F84C600" w14:textId="77777777" w:rsidTr="00482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auto"/>
            </w:tcBorders>
            <w:vAlign w:val="center"/>
          </w:tcPr>
          <w:p w14:paraId="6402BFA3" w14:textId="1A8EC5D6" w:rsidR="00927DB4" w:rsidRPr="006025D1" w:rsidRDefault="00927DB4" w:rsidP="00BC0B68">
            <w:pPr>
              <w:spacing w:after="12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6025D1">
              <w:rPr>
                <w:rFonts w:ascii="Book Antiqua" w:eastAsia="Calibri" w:hAnsi="Book Antiqua"/>
                <w:caps w:val="0"/>
                <w:sz w:val="22"/>
                <w:szCs w:val="22"/>
              </w:rPr>
              <w:t>Predlog zakona o budžetu Crne Gore za 2021. godinu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587EB2F8" w14:textId="77777777" w:rsidR="00927DB4" w:rsidRPr="006025D1" w:rsidRDefault="00927DB4" w:rsidP="00BC0B6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Calibri" w:hAnsi="Book Antiqua"/>
                <w:sz w:val="22"/>
                <w:szCs w:val="22"/>
              </w:rPr>
            </w:pPr>
            <w:r w:rsidRPr="006025D1">
              <w:rPr>
                <w:rFonts w:ascii="Book Antiqua" w:eastAsia="Calibri" w:hAnsi="Book Antiqua"/>
                <w:sz w:val="22"/>
                <w:szCs w:val="22"/>
              </w:rPr>
              <w:t>Razmatranje Predloga zakona u dijelu budžeta opredijeljenog za proces pristupanja EU</w:t>
            </w:r>
          </w:p>
        </w:tc>
        <w:tc>
          <w:tcPr>
            <w:tcW w:w="1271" w:type="dxa"/>
            <w:vAlign w:val="center"/>
          </w:tcPr>
          <w:p w14:paraId="0FA4BD5F" w14:textId="64A7E5B6" w:rsidR="00927DB4" w:rsidRPr="006025D1" w:rsidRDefault="00BA000E" w:rsidP="00BC0B6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Calibri" w:hAnsi="Book Antiqua"/>
                <w:sz w:val="22"/>
                <w:szCs w:val="22"/>
              </w:rPr>
            </w:pPr>
            <w:r w:rsidRPr="006025D1">
              <w:rPr>
                <w:rFonts w:ascii="Book Antiqua" w:eastAsia="Calibri" w:hAnsi="Book Antiqua"/>
                <w:sz w:val="22"/>
                <w:szCs w:val="22"/>
              </w:rPr>
              <w:t>april</w:t>
            </w:r>
          </w:p>
        </w:tc>
        <w:tc>
          <w:tcPr>
            <w:tcW w:w="2268" w:type="dxa"/>
            <w:vAlign w:val="center"/>
          </w:tcPr>
          <w:p w14:paraId="3E01A0DB" w14:textId="27A9A421" w:rsidR="00927DB4" w:rsidRPr="006025D1" w:rsidRDefault="009E560F" w:rsidP="009E560F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ind w:left="80" w:right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Calibri" w:hAnsi="Book Antiqua"/>
                <w:sz w:val="22"/>
                <w:szCs w:val="22"/>
              </w:rPr>
            </w:pPr>
            <w:r w:rsidRPr="006025D1">
              <w:rPr>
                <w:rFonts w:ascii="Book Antiqua" w:eastAsia="Calibri" w:hAnsi="Book Antiqua"/>
                <w:sz w:val="22"/>
                <w:szCs w:val="22"/>
              </w:rPr>
              <w:t xml:space="preserve">Ministarstvo finansija i socijalnog staranja, </w:t>
            </w:r>
            <w:r w:rsidR="00927DB4" w:rsidRPr="006025D1">
              <w:rPr>
                <w:rFonts w:ascii="Book Antiqua" w:eastAsia="Calibri" w:hAnsi="Book Antiqua"/>
                <w:sz w:val="22"/>
                <w:szCs w:val="22"/>
              </w:rPr>
              <w:t xml:space="preserve">Kancelarija za evropske integracije </w:t>
            </w:r>
          </w:p>
        </w:tc>
      </w:tr>
      <w:tr w:rsidR="00BA000E" w:rsidRPr="004820CC" w14:paraId="7CFD1F78" w14:textId="77777777" w:rsidTr="00B60646">
        <w:trPr>
          <w:trHeight w:val="2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auto"/>
            </w:tcBorders>
            <w:vAlign w:val="center"/>
          </w:tcPr>
          <w:p w14:paraId="5A589EED" w14:textId="77777777" w:rsidR="00BA000E" w:rsidRPr="004820CC" w:rsidRDefault="00BA000E" w:rsidP="00B60646">
            <w:pPr>
              <w:spacing w:after="120"/>
              <w:jc w:val="center"/>
              <w:rPr>
                <w:rFonts w:ascii="Book Antiqua" w:eastAsia="Calibri" w:hAnsi="Book Antiqua"/>
                <w:sz w:val="22"/>
                <w:szCs w:val="22"/>
                <w:lang w:val="sr-Latn-BA"/>
              </w:rPr>
            </w:pPr>
            <w:r w:rsidRPr="004820CC">
              <w:rPr>
                <w:rFonts w:ascii="Book Antiqua" w:eastAsia="Calibri" w:hAnsi="Book Antiqua"/>
                <w:caps w:val="0"/>
                <w:sz w:val="22"/>
                <w:szCs w:val="22"/>
              </w:rPr>
              <w:t>25, 26, 27. i</w:t>
            </w:r>
            <w:r>
              <w:rPr>
                <w:rFonts w:ascii="Book Antiqua" w:eastAsia="Calibri" w:hAnsi="Book Antiqua"/>
                <w:caps w:val="0"/>
                <w:sz w:val="22"/>
                <w:szCs w:val="22"/>
              </w:rPr>
              <w:t xml:space="preserve"> 28.</w:t>
            </w:r>
            <w:r w:rsidRPr="004820CC">
              <w:rPr>
                <w:rFonts w:ascii="Book Antiqua" w:eastAsia="Calibri" w:hAnsi="Book Antiqua"/>
                <w:caps w:val="0"/>
                <w:sz w:val="22"/>
                <w:szCs w:val="22"/>
              </w:rPr>
              <w:t xml:space="preserve"> kvartalni izvještaj o ukupnim aktivnostima u okviru procesa integracije Crne Gore u Evropsku uniju, za period januar – decembar 2020. godine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14D5BE18" w14:textId="77777777" w:rsidR="00BA000E" w:rsidRPr="004820CC" w:rsidRDefault="00BA000E" w:rsidP="00B60646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>Izvještaj obuhvata informacije o pregovorima o pristupanju Crne Gore EU, političkom dijalogu sa EU, procesu usklađivanja zakonodavstva, te korišćenju sredstava pretpristupne podrške (IPA)</w:t>
            </w:r>
          </w:p>
        </w:tc>
        <w:tc>
          <w:tcPr>
            <w:tcW w:w="1271" w:type="dxa"/>
            <w:vAlign w:val="center"/>
          </w:tcPr>
          <w:p w14:paraId="66EA69F2" w14:textId="0E355308" w:rsidR="00BA000E" w:rsidRPr="004820CC" w:rsidRDefault="00BA000E" w:rsidP="00B60646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sz w:val="22"/>
                <w:szCs w:val="22"/>
              </w:rPr>
              <w:t>april/maj</w:t>
            </w:r>
            <w:r w:rsidRPr="004820CC">
              <w:rPr>
                <w:rFonts w:ascii="Book Antiqua" w:hAnsi="Book Antiqua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49EF50D7" w14:textId="77777777" w:rsidR="00BA000E" w:rsidRPr="004820CC" w:rsidRDefault="00BA000E" w:rsidP="00B60646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  <w:highlight w:val="yellow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>glavni pregovarač, Kancelarija za evropske integracije</w:t>
            </w:r>
          </w:p>
        </w:tc>
      </w:tr>
      <w:tr w:rsidR="006025D1" w:rsidRPr="006025D1" w14:paraId="673757CB" w14:textId="77777777" w:rsidTr="00B60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auto"/>
            </w:tcBorders>
            <w:vAlign w:val="center"/>
          </w:tcPr>
          <w:p w14:paraId="0C79256B" w14:textId="528CA59C" w:rsidR="00BA000E" w:rsidRPr="006025D1" w:rsidRDefault="00B474F3" w:rsidP="00B60646">
            <w:pPr>
              <w:spacing w:after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025D1">
              <w:rPr>
                <w:rFonts w:ascii="Book Antiqua" w:eastAsia="Calibri" w:hAnsi="Book Antiqua"/>
                <w:caps w:val="0"/>
                <w:sz w:val="22"/>
                <w:szCs w:val="22"/>
              </w:rPr>
              <w:t>G</w:t>
            </w:r>
            <w:r w:rsidR="00BA000E" w:rsidRPr="006025D1">
              <w:rPr>
                <w:rFonts w:ascii="Book Antiqua" w:eastAsia="Calibri" w:hAnsi="Book Antiqua"/>
                <w:caps w:val="0"/>
                <w:sz w:val="22"/>
                <w:szCs w:val="22"/>
              </w:rPr>
              <w:t>odišnji izvještaj o realizaciji obaveza iz Programa pristupanja Crne Gore Evropskoj uniji (PPCG) 2020-2022, za 2020. godinu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1E9D39B6" w14:textId="77777777" w:rsidR="00BA000E" w:rsidRPr="006025D1" w:rsidRDefault="00BA000E" w:rsidP="00B60646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sz w:val="22"/>
                <w:szCs w:val="22"/>
              </w:rPr>
            </w:pPr>
            <w:r w:rsidRPr="006025D1">
              <w:rPr>
                <w:rFonts w:ascii="Book Antiqua" w:eastAsia="Calibri" w:hAnsi="Book Antiqua"/>
                <w:sz w:val="22"/>
                <w:szCs w:val="22"/>
              </w:rPr>
              <w:t>Izvještaj sadrži rokove, stepen ispunjenja obaveza, razloge eventualnog kašnjenja i sl. u dijelu ispunjavanja obaveza i planiranih aktivnosti za usklađivanje sa pravnom tekovinom EU</w:t>
            </w:r>
          </w:p>
        </w:tc>
        <w:tc>
          <w:tcPr>
            <w:tcW w:w="1271" w:type="dxa"/>
            <w:vAlign w:val="center"/>
          </w:tcPr>
          <w:p w14:paraId="10BBCBAB" w14:textId="2EBF05BE" w:rsidR="00BA000E" w:rsidRPr="006025D1" w:rsidRDefault="00BA000E" w:rsidP="00B60646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 w:rsidRPr="006025D1">
              <w:rPr>
                <w:rFonts w:ascii="Book Antiqua" w:eastAsia="Calibri" w:hAnsi="Book Antiqua"/>
                <w:sz w:val="22"/>
                <w:szCs w:val="22"/>
              </w:rPr>
              <w:t>april/maj</w:t>
            </w:r>
          </w:p>
        </w:tc>
        <w:tc>
          <w:tcPr>
            <w:tcW w:w="2268" w:type="dxa"/>
            <w:vAlign w:val="center"/>
          </w:tcPr>
          <w:p w14:paraId="0F811CB7" w14:textId="77777777" w:rsidR="00BA000E" w:rsidRPr="006025D1" w:rsidRDefault="00BA000E" w:rsidP="00B60646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  <w:highlight w:val="yellow"/>
              </w:rPr>
            </w:pPr>
            <w:r w:rsidRPr="006025D1">
              <w:rPr>
                <w:rFonts w:ascii="Book Antiqua" w:eastAsia="Calibri" w:hAnsi="Book Antiqua"/>
                <w:sz w:val="22"/>
                <w:szCs w:val="22"/>
              </w:rPr>
              <w:t>glavni pregovarač, Kancelarija za evropske integracije</w:t>
            </w:r>
          </w:p>
        </w:tc>
      </w:tr>
      <w:tr w:rsidR="00BA000E" w:rsidRPr="004820CC" w14:paraId="2B3BCA69" w14:textId="77777777" w:rsidTr="00B60646">
        <w:trPr>
          <w:trHeight w:val="18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auto"/>
            </w:tcBorders>
            <w:vAlign w:val="center"/>
          </w:tcPr>
          <w:p w14:paraId="15AD36DB" w14:textId="77777777" w:rsidR="00BA000E" w:rsidRPr="004820CC" w:rsidRDefault="00BA000E" w:rsidP="00B60646">
            <w:pPr>
              <w:spacing w:after="120"/>
              <w:jc w:val="center"/>
              <w:rPr>
                <w:rFonts w:ascii="Book Antiqua" w:eastAsia="Calibri" w:hAnsi="Book Antiqua"/>
                <w:caps w:val="0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caps w:val="0"/>
                <w:sz w:val="22"/>
                <w:szCs w:val="22"/>
              </w:rPr>
              <w:t>13. i 14.  polugodišnji izvještaj o ukupnim aktivnostima u okviru procesa integracije Crne Gore u Evropsku uniju, za period januar – decembar 2020. godine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311E3791" w14:textId="77777777" w:rsidR="00BA000E" w:rsidRPr="004820CC" w:rsidRDefault="00BA000E" w:rsidP="00B60646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  <w:lang w:val="sr-Latn-CS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>Saglasno Rezoluciji o načinu, kvalitetu i dinamici procesa integracija Crne Gore u EU, Skupština Crne Gore tokom redovnih zasijedanja razmatra polugodišnje izvještaje o toku evropskih integracija</w:t>
            </w:r>
          </w:p>
        </w:tc>
        <w:tc>
          <w:tcPr>
            <w:tcW w:w="1271" w:type="dxa"/>
            <w:vAlign w:val="center"/>
          </w:tcPr>
          <w:p w14:paraId="6F467E81" w14:textId="7CD7E676" w:rsidR="00BA000E" w:rsidRPr="004820CC" w:rsidRDefault="00BA000E" w:rsidP="00B60646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  <w:lang w:val="sr-Latn-CS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>maj</w:t>
            </w:r>
          </w:p>
        </w:tc>
        <w:tc>
          <w:tcPr>
            <w:tcW w:w="2268" w:type="dxa"/>
            <w:vAlign w:val="center"/>
          </w:tcPr>
          <w:p w14:paraId="7E7009FA" w14:textId="77777777" w:rsidR="00BA000E" w:rsidRPr="004820CC" w:rsidRDefault="00BA000E" w:rsidP="00B60646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>glavni pregovarač, Kancelarija za evropske integracije</w:t>
            </w:r>
          </w:p>
        </w:tc>
      </w:tr>
      <w:tr w:rsidR="00BA000E" w:rsidRPr="004820CC" w14:paraId="55B3E546" w14:textId="77777777" w:rsidTr="00B474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auto"/>
            </w:tcBorders>
            <w:vAlign w:val="center"/>
          </w:tcPr>
          <w:p w14:paraId="11904973" w14:textId="724F9D4C" w:rsidR="005F4963" w:rsidRPr="004820CC" w:rsidRDefault="005F4963" w:rsidP="00BC0B68">
            <w:pPr>
              <w:spacing w:after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caps w:val="0"/>
                <w:sz w:val="22"/>
                <w:szCs w:val="22"/>
              </w:rPr>
              <w:t>29. kvartalni izvještaj o ukupnim aktivnostima u okviru procesa integracije Crne Gore u Evropsku uniju, za period januar – mart 2021. godine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675E84A9" w14:textId="3B2B247C" w:rsidR="005F4963" w:rsidRPr="004820CC" w:rsidRDefault="005F4963" w:rsidP="00BC0B6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>Izvještaj obuhvata informacije o pregovorima o pristupanju Crne Gore EU, političkom dijalogu sa EU, procesu usklađivanja zakonodavstva, te korišćenju sredstava pretpristupne podrške (IPA)</w:t>
            </w:r>
          </w:p>
        </w:tc>
        <w:tc>
          <w:tcPr>
            <w:tcW w:w="1271" w:type="dxa"/>
            <w:vAlign w:val="center"/>
          </w:tcPr>
          <w:p w14:paraId="301436F7" w14:textId="4782626C" w:rsidR="005F4963" w:rsidRPr="004820CC" w:rsidRDefault="00F626BD" w:rsidP="00BC0B6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>maj/</w:t>
            </w:r>
            <w:r w:rsidR="00DF155A" w:rsidRPr="004820CC">
              <w:rPr>
                <w:rFonts w:ascii="Book Antiqua" w:eastAsia="Calibri" w:hAnsi="Book Antiqua"/>
                <w:sz w:val="22"/>
                <w:szCs w:val="22"/>
              </w:rPr>
              <w:t>jun</w:t>
            </w:r>
            <w:r w:rsidR="005F4963" w:rsidRPr="004820CC">
              <w:rPr>
                <w:rFonts w:ascii="Book Antiqua" w:eastAsia="Calibri" w:hAnsi="Book Antiqua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14:paraId="128D66F8" w14:textId="567F105F" w:rsidR="005F4963" w:rsidRPr="004820CC" w:rsidRDefault="005F4963" w:rsidP="00BC0B6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  <w:highlight w:val="yellow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>glavni pregovarač, Kancelarija za evropske integracije</w:t>
            </w:r>
          </w:p>
        </w:tc>
      </w:tr>
      <w:tr w:rsidR="006025D1" w:rsidRPr="006025D1" w14:paraId="5B4F3323" w14:textId="77777777" w:rsidTr="00B474F3">
        <w:trPr>
          <w:trHeight w:val="23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auto"/>
            </w:tcBorders>
            <w:vAlign w:val="center"/>
          </w:tcPr>
          <w:p w14:paraId="2710C737" w14:textId="77E6026B" w:rsidR="005F4963" w:rsidRPr="006025D1" w:rsidRDefault="00B474F3" w:rsidP="00C46020">
            <w:pPr>
              <w:spacing w:after="120"/>
              <w:jc w:val="center"/>
              <w:rPr>
                <w:rFonts w:ascii="Book Antiqua" w:hAnsi="Book Antiqua"/>
                <w:caps w:val="0"/>
                <w:sz w:val="22"/>
                <w:szCs w:val="22"/>
              </w:rPr>
            </w:pPr>
            <w:r w:rsidRPr="006025D1">
              <w:rPr>
                <w:rFonts w:ascii="Book Antiqua" w:eastAsia="Calibri" w:hAnsi="Book Antiqua"/>
                <w:caps w:val="0"/>
                <w:sz w:val="22"/>
                <w:szCs w:val="22"/>
              </w:rPr>
              <w:lastRenderedPageBreak/>
              <w:t>I</w:t>
            </w:r>
            <w:r w:rsidR="005F4963" w:rsidRPr="006025D1">
              <w:rPr>
                <w:rFonts w:ascii="Book Antiqua" w:eastAsia="Calibri" w:hAnsi="Book Antiqua"/>
                <w:caps w:val="0"/>
                <w:sz w:val="22"/>
                <w:szCs w:val="22"/>
              </w:rPr>
              <w:t>zvještaj o realizaciji obaveza iz Programa pristupanja Crne Gore Evropskoj uniji (PPCG) 2021-202</w:t>
            </w:r>
            <w:r w:rsidRPr="006025D1">
              <w:rPr>
                <w:rFonts w:ascii="Book Antiqua" w:eastAsia="Calibri" w:hAnsi="Book Antiqua"/>
                <w:caps w:val="0"/>
                <w:sz w:val="22"/>
                <w:szCs w:val="22"/>
              </w:rPr>
              <w:t>3</w:t>
            </w:r>
            <w:r w:rsidR="005F4963" w:rsidRPr="006025D1">
              <w:rPr>
                <w:rFonts w:ascii="Book Antiqua" w:eastAsia="Calibri" w:hAnsi="Book Antiqua"/>
                <w:caps w:val="0"/>
                <w:sz w:val="22"/>
                <w:szCs w:val="22"/>
              </w:rPr>
              <w:t xml:space="preserve">, za </w:t>
            </w:r>
            <w:r w:rsidR="00C46020" w:rsidRPr="006025D1">
              <w:rPr>
                <w:rFonts w:ascii="Book Antiqua" w:eastAsia="Calibri" w:hAnsi="Book Antiqua"/>
                <w:caps w:val="0"/>
                <w:sz w:val="22"/>
                <w:szCs w:val="22"/>
              </w:rPr>
              <w:t>II kvartal</w:t>
            </w:r>
            <w:r w:rsidR="005F4963" w:rsidRPr="006025D1">
              <w:rPr>
                <w:rFonts w:ascii="Book Antiqua" w:eastAsia="Calibri" w:hAnsi="Book Antiqua"/>
                <w:caps w:val="0"/>
                <w:sz w:val="22"/>
                <w:szCs w:val="22"/>
              </w:rPr>
              <w:t xml:space="preserve"> 2021. godine</w:t>
            </w:r>
            <w:r w:rsidRPr="006025D1">
              <w:rPr>
                <w:rStyle w:val="FootnoteReference"/>
                <w:rFonts w:ascii="Book Antiqua" w:eastAsia="Calibri" w:hAnsi="Book Antiqua"/>
                <w:caps w:val="0"/>
                <w:sz w:val="22"/>
                <w:szCs w:val="22"/>
              </w:rPr>
              <w:footnoteReference w:id="1"/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49B748BF" w14:textId="42BD4241" w:rsidR="005F4963" w:rsidRPr="006025D1" w:rsidRDefault="005F4963" w:rsidP="00BC0B6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 w:rsidRPr="006025D1">
              <w:rPr>
                <w:rFonts w:ascii="Book Antiqua" w:eastAsia="Calibri" w:hAnsi="Book Antiqua"/>
                <w:sz w:val="22"/>
                <w:szCs w:val="22"/>
              </w:rPr>
              <w:t>Izvještaj sadrži rokove, stepen ispunjenja obaveza, razloge eventualnog kašnjenja i sl. u dijelu ispunjavanja obaveza i planiranih aktivnosti za usklađivanje sa pravnom tekovinom EU</w:t>
            </w:r>
          </w:p>
        </w:tc>
        <w:tc>
          <w:tcPr>
            <w:tcW w:w="1271" w:type="dxa"/>
            <w:vAlign w:val="center"/>
          </w:tcPr>
          <w:p w14:paraId="176E90F8" w14:textId="7006A9AA" w:rsidR="005F4963" w:rsidRPr="006025D1" w:rsidRDefault="005F4963" w:rsidP="00BC0B6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0"/>
                <w:szCs w:val="20"/>
              </w:rPr>
            </w:pPr>
            <w:r w:rsidRPr="006025D1">
              <w:rPr>
                <w:rFonts w:ascii="Book Antiqua" w:eastAsia="Calibri" w:hAnsi="Book Antiqua"/>
                <w:sz w:val="22"/>
                <w:szCs w:val="20"/>
              </w:rPr>
              <w:t>septembar</w:t>
            </w:r>
            <w:r w:rsidR="00F626BD" w:rsidRPr="006025D1">
              <w:rPr>
                <w:rFonts w:ascii="Book Antiqua" w:eastAsia="Calibri" w:hAnsi="Book Antiqua"/>
                <w:sz w:val="22"/>
                <w:szCs w:val="20"/>
              </w:rPr>
              <w:t>/oktobar</w:t>
            </w:r>
          </w:p>
        </w:tc>
        <w:tc>
          <w:tcPr>
            <w:tcW w:w="2268" w:type="dxa"/>
            <w:vAlign w:val="center"/>
          </w:tcPr>
          <w:p w14:paraId="07BC3BCF" w14:textId="3C89CC3B" w:rsidR="005F4963" w:rsidRPr="006025D1" w:rsidRDefault="005F4963" w:rsidP="00BC0B6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 w:rsidRPr="006025D1">
              <w:rPr>
                <w:rFonts w:ascii="Book Antiqua" w:eastAsia="Calibri" w:hAnsi="Book Antiqua"/>
                <w:sz w:val="22"/>
                <w:szCs w:val="22"/>
              </w:rPr>
              <w:t>glavni pregovarač, Kancelarija za evropske integracije</w:t>
            </w:r>
          </w:p>
        </w:tc>
      </w:tr>
      <w:tr w:rsidR="00BA000E" w:rsidRPr="004820CC" w14:paraId="5DD5AB30" w14:textId="77777777" w:rsidTr="00482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auto"/>
            </w:tcBorders>
            <w:vAlign w:val="center"/>
          </w:tcPr>
          <w:p w14:paraId="017D573A" w14:textId="5EEB7025" w:rsidR="005F4963" w:rsidRPr="004820CC" w:rsidRDefault="005F4963" w:rsidP="00BC0B68">
            <w:pPr>
              <w:spacing w:after="120"/>
              <w:jc w:val="center"/>
              <w:rPr>
                <w:rFonts w:ascii="Book Antiqua" w:hAnsi="Book Antiqua"/>
                <w:caps w:val="0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caps w:val="0"/>
                <w:sz w:val="22"/>
                <w:szCs w:val="22"/>
              </w:rPr>
              <w:t>30. kvartalni izvještaj o ukupnim aktivnostima u okviru procesa integracije Crne Gore u Evropsku uniju, za period april – jun 2021. godine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4087F5CE" w14:textId="1779D85C" w:rsidR="005F4963" w:rsidRPr="004820CC" w:rsidRDefault="005F4963" w:rsidP="00BC0B6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>Izvještaj obuhvata informacije o pregovorima o pristupanju Crne Gore EU, političkom dijalogu sa EU, procesu usklađivanja zakonodavstva, te korišćenju sredstava pretpristupne podrške (IPA)</w:t>
            </w:r>
          </w:p>
        </w:tc>
        <w:tc>
          <w:tcPr>
            <w:tcW w:w="1271" w:type="dxa"/>
            <w:vAlign w:val="center"/>
          </w:tcPr>
          <w:p w14:paraId="3AEDC058" w14:textId="4AA7D631" w:rsidR="005F4963" w:rsidRPr="004820CC" w:rsidRDefault="005F4963" w:rsidP="00BC0B6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>septembar</w:t>
            </w:r>
            <w:r w:rsidR="00F626BD">
              <w:rPr>
                <w:rFonts w:ascii="Book Antiqua" w:eastAsia="Calibri" w:hAnsi="Book Antiqua"/>
                <w:sz w:val="22"/>
                <w:szCs w:val="22"/>
              </w:rPr>
              <w:t>/oktobar</w:t>
            </w:r>
          </w:p>
        </w:tc>
        <w:tc>
          <w:tcPr>
            <w:tcW w:w="2268" w:type="dxa"/>
            <w:vAlign w:val="center"/>
          </w:tcPr>
          <w:p w14:paraId="4DF8D379" w14:textId="0F583C5B" w:rsidR="005F4963" w:rsidRPr="004820CC" w:rsidRDefault="005F4963" w:rsidP="00BC0B6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  <w:highlight w:val="yellow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>glavni pregovarač, Kancelarija za evropske integracije</w:t>
            </w:r>
          </w:p>
        </w:tc>
      </w:tr>
      <w:tr w:rsidR="00BA000E" w:rsidRPr="004820CC" w14:paraId="3F16C163" w14:textId="77777777" w:rsidTr="00BC0B68">
        <w:trPr>
          <w:trHeight w:val="2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auto"/>
            </w:tcBorders>
            <w:vAlign w:val="center"/>
          </w:tcPr>
          <w:p w14:paraId="69152F4B" w14:textId="54A2937A" w:rsidR="005F4963" w:rsidRPr="004820CC" w:rsidRDefault="005F4963" w:rsidP="00BC0B68">
            <w:pPr>
              <w:spacing w:after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caps w:val="0"/>
                <w:sz w:val="22"/>
                <w:szCs w:val="22"/>
              </w:rPr>
              <w:t>15.  polugodišnji izvještaj o ukupnim aktivnostima u okviru procesa integracije Crne Gore u Evropsku uniju, za period januar – jun 2021. godine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6CC44ECC" w14:textId="3B9ABB91" w:rsidR="005F4963" w:rsidRPr="004820CC" w:rsidRDefault="005F4963" w:rsidP="00BC0B6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>Saglasno Rezoluciji o načinu, kvalitetu i dinamici procesa integracija Crne Gore u EU, Skupština Crne Gore tokom redovnih zasijedanja razmatra polugodišnje izvještaje o toku evropskih integracija</w:t>
            </w:r>
          </w:p>
        </w:tc>
        <w:tc>
          <w:tcPr>
            <w:tcW w:w="1271" w:type="dxa"/>
            <w:vAlign w:val="center"/>
          </w:tcPr>
          <w:p w14:paraId="420FE04B" w14:textId="23D10452" w:rsidR="005F4963" w:rsidRPr="004820CC" w:rsidRDefault="005F4963" w:rsidP="00BC0B6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>septembar</w:t>
            </w:r>
            <w:r w:rsidR="00F626BD">
              <w:rPr>
                <w:rFonts w:ascii="Book Antiqua" w:eastAsia="Calibri" w:hAnsi="Book Antiqua"/>
                <w:sz w:val="22"/>
                <w:szCs w:val="22"/>
              </w:rPr>
              <w:t>/oktobar</w:t>
            </w:r>
          </w:p>
        </w:tc>
        <w:tc>
          <w:tcPr>
            <w:tcW w:w="2268" w:type="dxa"/>
            <w:vAlign w:val="center"/>
          </w:tcPr>
          <w:p w14:paraId="761C8492" w14:textId="380BAC5E" w:rsidR="005F4963" w:rsidRPr="004820CC" w:rsidRDefault="005F4963" w:rsidP="00BC0B6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  <w:highlight w:val="yellow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>glavni pregovarač, Kancelarija za evropske integracije</w:t>
            </w:r>
          </w:p>
        </w:tc>
      </w:tr>
      <w:tr w:rsidR="006025D1" w:rsidRPr="006025D1" w14:paraId="14B6585C" w14:textId="77777777" w:rsidTr="00BC0B6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auto"/>
            </w:tcBorders>
            <w:vAlign w:val="center"/>
          </w:tcPr>
          <w:p w14:paraId="3966DFB2" w14:textId="7C7D13E8" w:rsidR="005F4963" w:rsidRPr="006025D1" w:rsidRDefault="00C46020" w:rsidP="00C46020">
            <w:pPr>
              <w:spacing w:after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6025D1">
              <w:rPr>
                <w:rFonts w:ascii="Book Antiqua" w:eastAsia="Calibri" w:hAnsi="Book Antiqua"/>
                <w:caps w:val="0"/>
                <w:sz w:val="22"/>
                <w:szCs w:val="22"/>
              </w:rPr>
              <w:t>I</w:t>
            </w:r>
            <w:r w:rsidR="005F4963" w:rsidRPr="006025D1">
              <w:rPr>
                <w:rFonts w:ascii="Book Antiqua" w:eastAsia="Calibri" w:hAnsi="Book Antiqua"/>
                <w:caps w:val="0"/>
                <w:sz w:val="22"/>
                <w:szCs w:val="22"/>
              </w:rPr>
              <w:t>zvještaj o realizaciji obaveza iz Programa pristupanja Crne Gore Evropskoj uniji (PPCG) 2021-202</w:t>
            </w:r>
            <w:r w:rsidR="00B474F3" w:rsidRPr="006025D1">
              <w:rPr>
                <w:rFonts w:ascii="Book Antiqua" w:eastAsia="Calibri" w:hAnsi="Book Antiqua"/>
                <w:caps w:val="0"/>
                <w:sz w:val="22"/>
                <w:szCs w:val="22"/>
              </w:rPr>
              <w:t>3</w:t>
            </w:r>
            <w:r w:rsidR="005F4963" w:rsidRPr="006025D1">
              <w:rPr>
                <w:rFonts w:ascii="Book Antiqua" w:eastAsia="Calibri" w:hAnsi="Book Antiqua"/>
                <w:caps w:val="0"/>
                <w:sz w:val="22"/>
                <w:szCs w:val="22"/>
              </w:rPr>
              <w:t xml:space="preserve">, za </w:t>
            </w:r>
            <w:r w:rsidRPr="006025D1">
              <w:rPr>
                <w:rFonts w:ascii="Book Antiqua" w:eastAsia="Calibri" w:hAnsi="Book Antiqua"/>
                <w:caps w:val="0"/>
                <w:sz w:val="22"/>
                <w:szCs w:val="22"/>
              </w:rPr>
              <w:t>II i III kvartal</w:t>
            </w:r>
            <w:r w:rsidR="005F4963" w:rsidRPr="006025D1">
              <w:rPr>
                <w:rFonts w:ascii="Book Antiqua" w:eastAsia="Calibri" w:hAnsi="Book Antiqua"/>
                <w:caps w:val="0"/>
                <w:sz w:val="22"/>
                <w:szCs w:val="22"/>
              </w:rPr>
              <w:t xml:space="preserve"> 2021. godine 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3AA07F9D" w14:textId="236E2217" w:rsidR="005F4963" w:rsidRPr="006025D1" w:rsidRDefault="005F4963" w:rsidP="00BC0B6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b/>
                <w:sz w:val="22"/>
                <w:szCs w:val="22"/>
              </w:rPr>
            </w:pPr>
            <w:r w:rsidRPr="006025D1">
              <w:rPr>
                <w:rFonts w:ascii="Book Antiqua" w:eastAsia="Calibri" w:hAnsi="Book Antiqua"/>
                <w:sz w:val="22"/>
                <w:szCs w:val="22"/>
              </w:rPr>
              <w:t xml:space="preserve">Izvještaj sadrži rokove, stepen ispunjenja obaveza, razloge eventualnog kašnjenja i sl. u dijelu ispunjavanja obaveza i planiranih aktivnosti za usklađivanje sa pravnom tekovinom EU </w:t>
            </w:r>
          </w:p>
        </w:tc>
        <w:tc>
          <w:tcPr>
            <w:tcW w:w="1271" w:type="dxa"/>
            <w:vAlign w:val="center"/>
          </w:tcPr>
          <w:p w14:paraId="3A4C7C9B" w14:textId="65719B86" w:rsidR="005F4963" w:rsidRPr="006025D1" w:rsidRDefault="00C46020" w:rsidP="00BC0B6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 w:rsidRPr="006025D1">
              <w:rPr>
                <w:rFonts w:ascii="Book Antiqua" w:eastAsia="Calibri" w:hAnsi="Book Antiqua"/>
                <w:sz w:val="22"/>
                <w:szCs w:val="22"/>
              </w:rPr>
              <w:t xml:space="preserve">oktobar/ </w:t>
            </w:r>
            <w:r w:rsidR="005F4963" w:rsidRPr="006025D1">
              <w:rPr>
                <w:rFonts w:ascii="Book Antiqua" w:eastAsia="Calibri" w:hAnsi="Book Antiqua"/>
                <w:sz w:val="22"/>
                <w:szCs w:val="22"/>
              </w:rPr>
              <w:t>novembar</w:t>
            </w:r>
          </w:p>
        </w:tc>
        <w:tc>
          <w:tcPr>
            <w:tcW w:w="2268" w:type="dxa"/>
            <w:vAlign w:val="center"/>
          </w:tcPr>
          <w:p w14:paraId="23552698" w14:textId="5B2E74B2" w:rsidR="005F4963" w:rsidRPr="006025D1" w:rsidRDefault="005F4963" w:rsidP="00BC0B6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  <w:highlight w:val="yellow"/>
              </w:rPr>
            </w:pPr>
            <w:r w:rsidRPr="006025D1">
              <w:rPr>
                <w:rFonts w:ascii="Book Antiqua" w:eastAsia="Calibri" w:hAnsi="Book Antiqua"/>
                <w:sz w:val="22"/>
                <w:szCs w:val="22"/>
              </w:rPr>
              <w:t xml:space="preserve">glavni pregovarač, Kancelarija za evropske integracije </w:t>
            </w:r>
          </w:p>
        </w:tc>
      </w:tr>
      <w:tr w:rsidR="00BA000E" w:rsidRPr="004820CC" w14:paraId="1DFB791D" w14:textId="77777777" w:rsidTr="00C46020">
        <w:trPr>
          <w:trHeight w:val="6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auto"/>
            </w:tcBorders>
            <w:vAlign w:val="center"/>
          </w:tcPr>
          <w:p w14:paraId="32686B4F" w14:textId="6D205ED3" w:rsidR="005F4963" w:rsidRPr="004820CC" w:rsidRDefault="005F4963" w:rsidP="00BC0B68">
            <w:pPr>
              <w:spacing w:after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caps w:val="0"/>
                <w:sz w:val="22"/>
                <w:szCs w:val="22"/>
              </w:rPr>
              <w:t>31. kvartalni izvještaj o ukupnim aktivnostima u okviru procesa integracije Crne Gore u Evropsku uniju, za period jul – septembar 2021. godine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6AE97DC7" w14:textId="4C487E1A" w:rsidR="005F4963" w:rsidRPr="004820CC" w:rsidRDefault="005F4963" w:rsidP="00BC0B6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>Izvještaj obuhvata informacije o pregovorima o pristupanju Crne Gore EU, političkom dijalogu sa EU, procesu usklađivanja zakonodavstva, te korišćenju sredstava pretpristupne podrške (IPA)</w:t>
            </w:r>
          </w:p>
        </w:tc>
        <w:tc>
          <w:tcPr>
            <w:tcW w:w="1271" w:type="dxa"/>
            <w:vAlign w:val="center"/>
          </w:tcPr>
          <w:p w14:paraId="1A8B3175" w14:textId="3DAFE33F" w:rsidR="005F4963" w:rsidRPr="004820CC" w:rsidRDefault="005F4963" w:rsidP="00BC0B6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>novembar</w:t>
            </w:r>
          </w:p>
        </w:tc>
        <w:tc>
          <w:tcPr>
            <w:tcW w:w="2268" w:type="dxa"/>
            <w:vAlign w:val="center"/>
          </w:tcPr>
          <w:p w14:paraId="68F51A36" w14:textId="57817730" w:rsidR="005F4963" w:rsidRPr="004820CC" w:rsidRDefault="005F4963" w:rsidP="00BC0B6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  <w:highlight w:val="yellow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>glavni pregovarač, Kancelarija za evropske integracije</w:t>
            </w:r>
          </w:p>
        </w:tc>
      </w:tr>
      <w:tr w:rsidR="00BA000E" w:rsidRPr="004820CC" w14:paraId="6C85ADF8" w14:textId="77777777" w:rsidTr="004820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auto"/>
            </w:tcBorders>
            <w:vAlign w:val="center"/>
          </w:tcPr>
          <w:p w14:paraId="16CC808B" w14:textId="522E3845" w:rsidR="005F4963" w:rsidRPr="004820CC" w:rsidRDefault="005F4963" w:rsidP="00BC0B68">
            <w:pPr>
              <w:spacing w:after="12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caps w:val="0"/>
                <w:sz w:val="22"/>
                <w:szCs w:val="22"/>
              </w:rPr>
              <w:lastRenderedPageBreak/>
              <w:t>Predlog zakona o budžetu Crne Gore za 2022. godinu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3E6C208C" w14:textId="52318CF3" w:rsidR="005F4963" w:rsidRPr="004820CC" w:rsidRDefault="005F4963" w:rsidP="00BC0B6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Calibri" w:hAnsi="Book Antiqua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>Razmatranje Predloga zakona u dijelu budžeta opredijeljenog za proces pristupanja EU</w:t>
            </w:r>
          </w:p>
        </w:tc>
        <w:tc>
          <w:tcPr>
            <w:tcW w:w="1271" w:type="dxa"/>
            <w:vAlign w:val="center"/>
          </w:tcPr>
          <w:p w14:paraId="552982B6" w14:textId="51F936F8" w:rsidR="005F4963" w:rsidRPr="004820CC" w:rsidRDefault="005F4963" w:rsidP="00BC0B68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Calibri" w:hAnsi="Book Antiqua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>decembar</w:t>
            </w:r>
          </w:p>
        </w:tc>
        <w:tc>
          <w:tcPr>
            <w:tcW w:w="2268" w:type="dxa"/>
            <w:vAlign w:val="center"/>
          </w:tcPr>
          <w:p w14:paraId="34885084" w14:textId="60BEA920" w:rsidR="005F4963" w:rsidRPr="004820CC" w:rsidRDefault="005F4963" w:rsidP="00BC0B6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ind w:left="80" w:right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Calibri" w:hAnsi="Book Antiqua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 xml:space="preserve">Kancelarija za evropske integracije, Ministarstvo vanjskih poslova, Generalni sekretarijat Vlade </w:t>
            </w:r>
          </w:p>
        </w:tc>
      </w:tr>
    </w:tbl>
    <w:p w14:paraId="3E1F4FCE" w14:textId="77777777" w:rsidR="00F626BD" w:rsidRDefault="00F626BD" w:rsidP="00BA000E">
      <w:pPr>
        <w:rPr>
          <w:rFonts w:ascii="Book Antiqua" w:hAnsi="Book Antiqua"/>
          <w:b/>
          <w:i/>
          <w:color w:val="C00000"/>
          <w:sz w:val="34"/>
          <w:szCs w:val="34"/>
        </w:rPr>
      </w:pPr>
    </w:p>
    <w:p w14:paraId="76036D9C" w14:textId="77777777" w:rsidR="006C5A3C" w:rsidRDefault="006C5A3C" w:rsidP="00BA000E">
      <w:pPr>
        <w:rPr>
          <w:rFonts w:ascii="Book Antiqua" w:hAnsi="Book Antiqua"/>
          <w:b/>
          <w:i/>
          <w:color w:val="C00000"/>
          <w:sz w:val="34"/>
          <w:szCs w:val="34"/>
        </w:rPr>
      </w:pPr>
    </w:p>
    <w:p w14:paraId="0DCE8D69" w14:textId="68596526" w:rsidR="00BA000E" w:rsidRDefault="00BA000E" w:rsidP="00F626BD">
      <w:pPr>
        <w:spacing w:after="0"/>
        <w:rPr>
          <w:rFonts w:ascii="Book Antiqua" w:hAnsi="Book Antiqua"/>
          <w:b/>
          <w:i/>
          <w:color w:val="C00000"/>
          <w:sz w:val="34"/>
          <w:szCs w:val="34"/>
        </w:rPr>
      </w:pPr>
      <w:r w:rsidRPr="006B26BE">
        <w:rPr>
          <w:rFonts w:ascii="Book Antiqua" w:hAnsi="Book Antiqua"/>
          <w:b/>
          <w:i/>
          <w:color w:val="C00000"/>
          <w:sz w:val="34"/>
          <w:szCs w:val="34"/>
        </w:rPr>
        <w:t>b)</w:t>
      </w:r>
      <w:r w:rsidRPr="006B26BE">
        <w:rPr>
          <w:rFonts w:ascii="Book Antiqua" w:hAnsi="Book Antiqua"/>
          <w:b/>
          <w:color w:val="C00000"/>
          <w:sz w:val="34"/>
          <w:szCs w:val="34"/>
        </w:rPr>
        <w:t xml:space="preserve"> </w:t>
      </w:r>
      <w:r w:rsidRPr="006B26BE">
        <w:rPr>
          <w:rFonts w:ascii="Book Antiqua" w:hAnsi="Book Antiqua"/>
          <w:b/>
          <w:i/>
          <w:color w:val="C00000"/>
          <w:sz w:val="34"/>
          <w:szCs w:val="34"/>
        </w:rPr>
        <w:t xml:space="preserve">Nadzor: </w:t>
      </w:r>
      <w:r w:rsidR="00F626BD" w:rsidRPr="006B26BE">
        <w:rPr>
          <w:rFonts w:ascii="Book Antiqua" w:hAnsi="Book Antiqua"/>
          <w:b/>
          <w:i/>
          <w:color w:val="C00000"/>
          <w:sz w:val="34"/>
          <w:szCs w:val="34"/>
        </w:rPr>
        <w:t>konsultativna saslušanja</w:t>
      </w:r>
    </w:p>
    <w:p w14:paraId="7BA9C793" w14:textId="77777777" w:rsidR="00F626BD" w:rsidRDefault="00F626BD" w:rsidP="00F626BD">
      <w:pPr>
        <w:spacing w:after="0"/>
        <w:rPr>
          <w:rFonts w:ascii="Book Antiqua" w:hAnsi="Book Antiqua"/>
          <w:b/>
          <w:i/>
          <w:color w:val="C00000"/>
          <w:sz w:val="34"/>
          <w:szCs w:val="34"/>
        </w:rPr>
      </w:pPr>
    </w:p>
    <w:tbl>
      <w:tblPr>
        <w:tblStyle w:val="PlainTable31"/>
        <w:tblW w:w="9209" w:type="dxa"/>
        <w:tblLayout w:type="fixed"/>
        <w:tblLook w:val="04A0" w:firstRow="1" w:lastRow="0" w:firstColumn="1" w:lastColumn="0" w:noHBand="0" w:noVBand="1"/>
      </w:tblPr>
      <w:tblGrid>
        <w:gridCol w:w="2694"/>
        <w:gridCol w:w="2976"/>
        <w:gridCol w:w="1271"/>
        <w:gridCol w:w="2268"/>
      </w:tblGrid>
      <w:tr w:rsidR="00BA000E" w:rsidRPr="004820CC" w14:paraId="46FF5608" w14:textId="77777777" w:rsidTr="00B606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371566CF" w14:textId="77777777" w:rsidR="00BA000E" w:rsidRPr="004820CC" w:rsidRDefault="00BA000E" w:rsidP="00B60646">
            <w:pPr>
              <w:spacing w:after="120"/>
              <w:jc w:val="center"/>
              <w:rPr>
                <w:rFonts w:ascii="Book Antiqua" w:hAnsi="Book Antiqua"/>
                <w:b w:val="0"/>
                <w:sz w:val="22"/>
                <w:szCs w:val="22"/>
              </w:rPr>
            </w:pPr>
            <w:r w:rsidRPr="004820CC">
              <w:rPr>
                <w:rFonts w:ascii="Book Antiqua" w:hAnsi="Book Antiqua"/>
                <w:sz w:val="22"/>
                <w:szCs w:val="22"/>
              </w:rPr>
              <w:t>TEMA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15D2E3" w14:textId="77777777" w:rsidR="00BA000E" w:rsidRPr="004820CC" w:rsidRDefault="00BA000E" w:rsidP="00B60646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sz w:val="22"/>
                <w:szCs w:val="22"/>
              </w:rPr>
            </w:pPr>
            <w:r w:rsidRPr="004820CC">
              <w:rPr>
                <w:rFonts w:ascii="Book Antiqua" w:hAnsi="Book Antiqua"/>
                <w:sz w:val="22"/>
                <w:szCs w:val="22"/>
              </w:rPr>
              <w:t>OPIS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483771" w14:textId="77777777" w:rsidR="00BA000E" w:rsidRPr="004820CC" w:rsidRDefault="00BA000E" w:rsidP="00B60646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sz w:val="22"/>
                <w:szCs w:val="22"/>
              </w:rPr>
            </w:pPr>
            <w:r w:rsidRPr="004820CC">
              <w:rPr>
                <w:rFonts w:ascii="Book Antiqua" w:hAnsi="Book Antiqua"/>
                <w:sz w:val="22"/>
                <w:szCs w:val="22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83AFE3" w14:textId="77777777" w:rsidR="00BA000E" w:rsidRPr="004820CC" w:rsidRDefault="00BA000E" w:rsidP="00B60646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sz w:val="22"/>
                <w:szCs w:val="22"/>
                <w:highlight w:val="yellow"/>
              </w:rPr>
            </w:pPr>
            <w:r w:rsidRPr="004820CC">
              <w:rPr>
                <w:rFonts w:ascii="Book Antiqua" w:hAnsi="Book Antiqua"/>
                <w:sz w:val="22"/>
                <w:szCs w:val="22"/>
              </w:rPr>
              <w:t>UČEŠĆe na sjedNICI</w:t>
            </w:r>
          </w:p>
        </w:tc>
      </w:tr>
      <w:tr w:rsidR="00BA000E" w:rsidRPr="004820CC" w14:paraId="179034AA" w14:textId="77777777" w:rsidTr="00B60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auto"/>
            </w:tcBorders>
            <w:vAlign w:val="center"/>
          </w:tcPr>
          <w:p w14:paraId="3053BE59" w14:textId="4C134867" w:rsidR="00BA000E" w:rsidRPr="004820CC" w:rsidRDefault="00BA000E" w:rsidP="003A3B15">
            <w:pPr>
              <w:spacing w:after="120"/>
              <w:jc w:val="center"/>
              <w:rPr>
                <w:rFonts w:ascii="Book Antiqua" w:eastAsia="Calibri" w:hAnsi="Book Antiqua"/>
                <w:sz w:val="22"/>
                <w:szCs w:val="22"/>
                <w:lang w:val="sr-Latn-BA"/>
              </w:rPr>
            </w:pPr>
            <w:r w:rsidRPr="004820CC">
              <w:rPr>
                <w:rFonts w:ascii="Book Antiqua" w:eastAsia="Calibri" w:hAnsi="Book Antiqua"/>
                <w:caps w:val="0"/>
                <w:sz w:val="22"/>
                <w:szCs w:val="22"/>
              </w:rPr>
              <w:t>Konsultativno saslušanje: Program pristupanja Crne Gore Evropskoj uniji (PPCG) 2021–202</w:t>
            </w:r>
            <w:r w:rsidR="003A3B15">
              <w:rPr>
                <w:rFonts w:ascii="Book Antiqua" w:eastAsia="Calibri" w:hAnsi="Book Antiqua"/>
                <w:caps w:val="0"/>
                <w:sz w:val="22"/>
                <w:szCs w:val="22"/>
              </w:rPr>
              <w:t>3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17BA355A" w14:textId="77777777" w:rsidR="00BA000E" w:rsidRPr="004820CC" w:rsidRDefault="00BA000E" w:rsidP="00B60646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>Ovaj program je najvažniji strateški dokument u oblasti evropskih integracija Crne Gore i daje pregled obaveza i planiranih aktivnosti za usklađivanje sa pravnom tekovinom EU</w:t>
            </w:r>
          </w:p>
        </w:tc>
        <w:tc>
          <w:tcPr>
            <w:tcW w:w="1271" w:type="dxa"/>
            <w:vAlign w:val="center"/>
          </w:tcPr>
          <w:p w14:paraId="5D9D8015" w14:textId="77777777" w:rsidR="00BA000E" w:rsidRPr="004820CC" w:rsidRDefault="00BA000E" w:rsidP="00B60646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Calibri" w:hAnsi="Book Antiqua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>april/</w:t>
            </w:r>
            <w:r w:rsidRPr="004820CC">
              <w:rPr>
                <w:rFonts w:ascii="Book Antiqua" w:eastAsia="Calibri" w:hAnsi="Book Antiqua"/>
                <w:sz w:val="22"/>
                <w:szCs w:val="22"/>
              </w:rPr>
              <w:br/>
              <w:t>maj</w:t>
            </w:r>
          </w:p>
        </w:tc>
        <w:tc>
          <w:tcPr>
            <w:tcW w:w="2268" w:type="dxa"/>
            <w:vAlign w:val="center"/>
          </w:tcPr>
          <w:p w14:paraId="7E477CEB" w14:textId="77777777" w:rsidR="00BA000E" w:rsidRPr="004820CC" w:rsidRDefault="00BA000E" w:rsidP="00B60646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>glavni pregovarač, Kancelarija za evropske integracije</w:t>
            </w:r>
          </w:p>
        </w:tc>
      </w:tr>
      <w:tr w:rsidR="00826B4D" w:rsidRPr="004820CC" w14:paraId="21738E8B" w14:textId="77777777" w:rsidTr="00FD21D2">
        <w:trPr>
          <w:trHeight w:val="2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auto"/>
            </w:tcBorders>
            <w:vAlign w:val="center"/>
          </w:tcPr>
          <w:p w14:paraId="6FEE3100" w14:textId="5415B63A" w:rsidR="00826B4D" w:rsidRPr="004820CC" w:rsidRDefault="00826B4D" w:rsidP="00826B4D">
            <w:pPr>
              <w:spacing w:after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caps w:val="0"/>
                <w:sz w:val="22"/>
                <w:szCs w:val="22"/>
              </w:rPr>
              <w:t xml:space="preserve">Konsultativno saslušanje na temu </w:t>
            </w:r>
            <w:r>
              <w:rPr>
                <w:rFonts w:ascii="Book Antiqua" w:eastAsia="Calibri" w:hAnsi="Book Antiqua"/>
                <w:caps w:val="0"/>
                <w:sz w:val="22"/>
                <w:szCs w:val="22"/>
              </w:rPr>
              <w:t xml:space="preserve">pregovaračke strukture za pregovore o pristupanju Crne Gore EU 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1FDAC63C" w14:textId="77777777" w:rsidR="00826B4D" w:rsidRPr="004820CC" w:rsidRDefault="00826B4D" w:rsidP="00FD21D2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>Odbor će razmotriti sveukupni napredak u procesu pregovora, kao i stanje, ispunjenost mjerila i internu spremnost za zatvaranje u okviru svih pregovaračkih poglavlja</w:t>
            </w:r>
          </w:p>
        </w:tc>
        <w:tc>
          <w:tcPr>
            <w:tcW w:w="1271" w:type="dxa"/>
            <w:vAlign w:val="center"/>
          </w:tcPr>
          <w:p w14:paraId="26F3C1BE" w14:textId="7EFC355E" w:rsidR="00826B4D" w:rsidRPr="004820CC" w:rsidRDefault="00826B4D" w:rsidP="00FD21D2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>maj/jun</w:t>
            </w:r>
          </w:p>
        </w:tc>
        <w:tc>
          <w:tcPr>
            <w:tcW w:w="2268" w:type="dxa"/>
            <w:vAlign w:val="center"/>
          </w:tcPr>
          <w:p w14:paraId="705C569C" w14:textId="7E00DAF1" w:rsidR="00826B4D" w:rsidRPr="004820CC" w:rsidRDefault="00826B4D" w:rsidP="00996864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>glavni pregovarač, Kancelarija za evropske integracije, Ministarstvo vanjskih poslova</w:t>
            </w:r>
          </w:p>
        </w:tc>
      </w:tr>
      <w:tr w:rsidR="003A3B15" w:rsidRPr="004820CC" w14:paraId="0B0408AD" w14:textId="77777777" w:rsidTr="00B60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auto"/>
            </w:tcBorders>
            <w:vAlign w:val="center"/>
          </w:tcPr>
          <w:p w14:paraId="3EC8A6BE" w14:textId="77777777" w:rsidR="003A3B15" w:rsidRPr="004820CC" w:rsidRDefault="003A3B15" w:rsidP="00B60646">
            <w:pPr>
              <w:spacing w:after="120"/>
              <w:jc w:val="center"/>
              <w:rPr>
                <w:rFonts w:ascii="Book Antiqua" w:hAnsi="Book Antiqua"/>
                <w:caps w:val="0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caps w:val="0"/>
                <w:sz w:val="22"/>
                <w:szCs w:val="22"/>
              </w:rPr>
              <w:t>Konsultativno saslušanje: Informacija o programima podrške Evropske unije Crnoj Gori za 2020. godinu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32B18F68" w14:textId="77777777" w:rsidR="003A3B15" w:rsidRPr="004820CC" w:rsidRDefault="003A3B15" w:rsidP="00B60646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>Konsultativno saslušanje predstavnika nadležnih institucija za planiranje i trošenje sredstava iz pristupnih EU fondova</w:t>
            </w:r>
          </w:p>
        </w:tc>
        <w:tc>
          <w:tcPr>
            <w:tcW w:w="1271" w:type="dxa"/>
            <w:vAlign w:val="center"/>
          </w:tcPr>
          <w:p w14:paraId="60D74E17" w14:textId="77777777" w:rsidR="003A3B15" w:rsidRPr="004820CC" w:rsidRDefault="003A3B15" w:rsidP="00B60646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  <w:lang w:val="sr-Latn-CS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>maj/jun</w:t>
            </w:r>
            <w:r w:rsidRPr="004820CC">
              <w:rPr>
                <w:rFonts w:ascii="Book Antiqua" w:eastAsia="Calibri" w:hAnsi="Book Antiqua"/>
                <w:sz w:val="22"/>
                <w:szCs w:val="22"/>
              </w:rPr>
              <w:t xml:space="preserve">      </w:t>
            </w:r>
          </w:p>
        </w:tc>
        <w:tc>
          <w:tcPr>
            <w:tcW w:w="2268" w:type="dxa"/>
            <w:vAlign w:val="center"/>
          </w:tcPr>
          <w:p w14:paraId="3EDBA2DF" w14:textId="77777777" w:rsidR="003A3B15" w:rsidRPr="004820CC" w:rsidRDefault="003A3B15" w:rsidP="00B60646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>glavni pregovarač, Kancelarija za evropske integracije, Ministarstvo finansija i socijalnog staranja i dr.</w:t>
            </w:r>
          </w:p>
        </w:tc>
      </w:tr>
      <w:tr w:rsidR="003A3B15" w:rsidRPr="004820CC" w14:paraId="18F675B7" w14:textId="77777777" w:rsidTr="00B60646">
        <w:trPr>
          <w:trHeight w:val="27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auto"/>
            </w:tcBorders>
            <w:vAlign w:val="center"/>
          </w:tcPr>
          <w:p w14:paraId="124129D0" w14:textId="77777777" w:rsidR="00BA000E" w:rsidRPr="004820CC" w:rsidRDefault="00BA000E" w:rsidP="00B60646">
            <w:pPr>
              <w:spacing w:after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caps w:val="0"/>
                <w:sz w:val="22"/>
                <w:szCs w:val="22"/>
              </w:rPr>
              <w:lastRenderedPageBreak/>
              <w:t>Konsultativno saslušanje predstavnika nadležnih organa na temu napretka u poglavljima 23 i 24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68EDD20C" w14:textId="77777777" w:rsidR="00BA000E" w:rsidRPr="004820CC" w:rsidRDefault="00BA000E" w:rsidP="00B60646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>Odbor će pozvati predstavnike nadležnih organa da ocijene napredak u procesu pregovora i realizaciji zadataka koji proističu iz obaveza na koje se Crna Gora obavezala u oblasti vladavine prava</w:t>
            </w:r>
          </w:p>
        </w:tc>
        <w:tc>
          <w:tcPr>
            <w:tcW w:w="1271" w:type="dxa"/>
            <w:vAlign w:val="center"/>
          </w:tcPr>
          <w:p w14:paraId="06A00D20" w14:textId="1ACD69D7" w:rsidR="00BA000E" w:rsidRPr="004820CC" w:rsidRDefault="00BA000E" w:rsidP="00B60646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>maj</w:t>
            </w:r>
            <w:r w:rsidR="003A3B15">
              <w:rPr>
                <w:rFonts w:ascii="Book Antiqua" w:eastAsia="Calibri" w:hAnsi="Book Antiqua"/>
                <w:sz w:val="22"/>
                <w:szCs w:val="22"/>
              </w:rPr>
              <w:t>/jun</w:t>
            </w:r>
          </w:p>
        </w:tc>
        <w:tc>
          <w:tcPr>
            <w:tcW w:w="2268" w:type="dxa"/>
            <w:vAlign w:val="center"/>
          </w:tcPr>
          <w:p w14:paraId="45243448" w14:textId="77777777" w:rsidR="00BA000E" w:rsidRPr="004820CC" w:rsidRDefault="00BA000E" w:rsidP="00B60646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  <w:highlight w:val="yellow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>predstavnici nadležnih organa u oblasti vladavine prava</w:t>
            </w:r>
          </w:p>
        </w:tc>
      </w:tr>
      <w:tr w:rsidR="00826B4D" w:rsidRPr="004820CC" w14:paraId="6136ACA4" w14:textId="77777777" w:rsidTr="00FD2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auto"/>
            </w:tcBorders>
            <w:vAlign w:val="center"/>
          </w:tcPr>
          <w:p w14:paraId="0F4FCCA3" w14:textId="77777777" w:rsidR="00826B4D" w:rsidRPr="004820CC" w:rsidRDefault="00826B4D" w:rsidP="00FD21D2">
            <w:pPr>
              <w:spacing w:after="12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caps w:val="0"/>
                <w:sz w:val="22"/>
                <w:szCs w:val="22"/>
              </w:rPr>
              <w:t>Konsultativno saslušanje pregovaračkog tima na temu ukupnog napretka u pregovorima o pristupanju Crne Gore EU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036A51F9" w14:textId="77777777" w:rsidR="00826B4D" w:rsidRPr="004820CC" w:rsidRDefault="00826B4D" w:rsidP="00FD21D2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Calibri" w:hAnsi="Book Antiqua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>Odbor će razmotriti sveukupni napredak u procesu pregovora, kao i stanje, ispunjenost mjerila i internu spremnost za zatvaranje u okviru svih pregovaračkih poglavlja</w:t>
            </w:r>
          </w:p>
        </w:tc>
        <w:tc>
          <w:tcPr>
            <w:tcW w:w="1271" w:type="dxa"/>
            <w:vAlign w:val="center"/>
          </w:tcPr>
          <w:p w14:paraId="20D77F3F" w14:textId="77777777" w:rsidR="00826B4D" w:rsidRPr="004820CC" w:rsidRDefault="00826B4D" w:rsidP="00FD21D2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Calibri" w:hAnsi="Book Antiqua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>novembar</w:t>
            </w:r>
            <w:r>
              <w:rPr>
                <w:rFonts w:ascii="Book Antiqua" w:eastAsia="Calibri" w:hAnsi="Book Antiqua"/>
                <w:sz w:val="22"/>
                <w:szCs w:val="22"/>
              </w:rPr>
              <w:t>/decembar</w:t>
            </w:r>
          </w:p>
        </w:tc>
        <w:tc>
          <w:tcPr>
            <w:tcW w:w="2268" w:type="dxa"/>
            <w:vAlign w:val="center"/>
          </w:tcPr>
          <w:p w14:paraId="063959CC" w14:textId="77777777" w:rsidR="00826B4D" w:rsidRPr="004820CC" w:rsidRDefault="00826B4D" w:rsidP="00FD21D2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ind w:left="80" w:right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Calibri" w:hAnsi="Book Antiqua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>glavni pregovarač, članovi Pregovaračke grupe, Ministarstvo vanjskih poslova</w:t>
            </w:r>
          </w:p>
        </w:tc>
      </w:tr>
      <w:tr w:rsidR="00826B4D" w:rsidRPr="004820CC" w14:paraId="0CA3A1F4" w14:textId="77777777" w:rsidTr="00B60646">
        <w:trPr>
          <w:trHeight w:val="24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auto"/>
            </w:tcBorders>
            <w:vAlign w:val="center"/>
          </w:tcPr>
          <w:p w14:paraId="1A800FF3" w14:textId="77777777" w:rsidR="00BA000E" w:rsidRPr="004820CC" w:rsidRDefault="00BA000E" w:rsidP="00B60646">
            <w:pPr>
              <w:spacing w:after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caps w:val="0"/>
                <w:sz w:val="22"/>
                <w:szCs w:val="22"/>
              </w:rPr>
              <w:t>Konsultativno saslušanje predstavnika nadležnih organa na temu napretka u poglavljima 23 i 24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3DF0A07D" w14:textId="77777777" w:rsidR="00BA000E" w:rsidRPr="004820CC" w:rsidRDefault="00BA000E" w:rsidP="00B60646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>Odbor će pozvati predstavnike nadležnih organa da ocijene napredak u procesu pregovora i realizaciji zadataka koji proističu iz obaveza na koje se Crna Gora obavezala u oblasti vladavine prava</w:t>
            </w:r>
          </w:p>
        </w:tc>
        <w:tc>
          <w:tcPr>
            <w:tcW w:w="1271" w:type="dxa"/>
            <w:vAlign w:val="center"/>
          </w:tcPr>
          <w:p w14:paraId="5349B2A0" w14:textId="13AC0A0E" w:rsidR="00BA000E" w:rsidRPr="004820CC" w:rsidRDefault="00BA000E" w:rsidP="00B60646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>novembar</w:t>
            </w:r>
            <w:r w:rsidR="003A3B15">
              <w:rPr>
                <w:rFonts w:ascii="Book Antiqua" w:eastAsia="Calibri" w:hAnsi="Book Antiqua"/>
                <w:sz w:val="22"/>
                <w:szCs w:val="22"/>
              </w:rPr>
              <w:t>/decembar</w:t>
            </w:r>
          </w:p>
        </w:tc>
        <w:tc>
          <w:tcPr>
            <w:tcW w:w="2268" w:type="dxa"/>
            <w:vAlign w:val="center"/>
          </w:tcPr>
          <w:p w14:paraId="4D568E73" w14:textId="77777777" w:rsidR="00BA000E" w:rsidRPr="004820CC" w:rsidRDefault="00BA000E" w:rsidP="00B60646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ind w:left="80" w:right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  <w:highlight w:val="yellow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>predstavnici nadležnih organa u oblasti vladavine prava</w:t>
            </w:r>
          </w:p>
        </w:tc>
      </w:tr>
      <w:tr w:rsidR="00826B4D" w:rsidRPr="004820CC" w14:paraId="13EA53AE" w14:textId="77777777" w:rsidTr="00B60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auto"/>
            </w:tcBorders>
            <w:vAlign w:val="center"/>
          </w:tcPr>
          <w:p w14:paraId="49230F6E" w14:textId="77777777" w:rsidR="00BA000E" w:rsidRDefault="00BA000E" w:rsidP="00B60646">
            <w:pPr>
              <w:spacing w:after="120"/>
              <w:jc w:val="center"/>
              <w:rPr>
                <w:rFonts w:ascii="Book Antiqua" w:eastAsia="Calibri" w:hAnsi="Book Antiqua"/>
                <w:caps w:val="0"/>
                <w:sz w:val="22"/>
                <w:szCs w:val="22"/>
              </w:rPr>
            </w:pPr>
            <w:r>
              <w:rPr>
                <w:rFonts w:ascii="Book Antiqua" w:eastAsia="Calibri" w:hAnsi="Book Antiqua"/>
                <w:caps w:val="0"/>
                <w:sz w:val="22"/>
                <w:szCs w:val="22"/>
              </w:rPr>
              <w:t>Konsultativno saslušanje na temu sprovođenja preporuka  Parlamentarnog odbora EU i Crne Gore za stabilizaciju i pridruživanje (POSP)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6113D037" w14:textId="77777777" w:rsidR="00BA000E" w:rsidRDefault="00BA000E" w:rsidP="00B60646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Calibri" w:hAnsi="Book Antiqua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 xml:space="preserve">Odbor će pozvati predstavnike nadležnih organa da </w:t>
            </w:r>
            <w:r>
              <w:rPr>
                <w:rFonts w:ascii="Book Antiqua" w:eastAsia="Calibri" w:hAnsi="Book Antiqua"/>
                <w:sz w:val="22"/>
                <w:szCs w:val="22"/>
              </w:rPr>
              <w:t>informišu o napretku u oblastima na koje se odnosi Rezolucija sa prethodnog sastanka POSP i o ispunjavanju preporuka iz Rezolucije, kao i o napretku u ključnim pregovaračkim oblastima</w:t>
            </w:r>
          </w:p>
        </w:tc>
        <w:tc>
          <w:tcPr>
            <w:tcW w:w="1271" w:type="dxa"/>
            <w:vAlign w:val="center"/>
          </w:tcPr>
          <w:p w14:paraId="5027C557" w14:textId="77777777" w:rsidR="00BA000E" w:rsidRPr="004820CC" w:rsidRDefault="00BA000E" w:rsidP="00B60646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Calibri" w:hAnsi="Book Antiqua"/>
                <w:sz w:val="22"/>
                <w:szCs w:val="22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>u susret sastanku POSP</w:t>
            </w:r>
          </w:p>
        </w:tc>
        <w:tc>
          <w:tcPr>
            <w:tcW w:w="2268" w:type="dxa"/>
            <w:vAlign w:val="center"/>
          </w:tcPr>
          <w:p w14:paraId="20CA8202" w14:textId="77777777" w:rsidR="00BA000E" w:rsidRDefault="00BA000E" w:rsidP="00B60646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Calibri" w:hAnsi="Book Antiqua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 xml:space="preserve">predstavnici nadležnih </w:t>
            </w:r>
            <w:r>
              <w:rPr>
                <w:rFonts w:ascii="Book Antiqua" w:eastAsia="Calibri" w:hAnsi="Book Antiqua"/>
                <w:sz w:val="22"/>
                <w:szCs w:val="22"/>
              </w:rPr>
              <w:t>organa u oblastima na koje se odnose preporuke iz Rezolucije POSP</w:t>
            </w:r>
          </w:p>
        </w:tc>
      </w:tr>
    </w:tbl>
    <w:p w14:paraId="0C87214E" w14:textId="77777777" w:rsidR="00BA000E" w:rsidRPr="005F4963" w:rsidRDefault="00BA000E" w:rsidP="00BA000E">
      <w:pPr>
        <w:rPr>
          <w:rFonts w:ascii="Book Antiqua" w:hAnsi="Book Antiqua"/>
          <w:b/>
          <w:color w:val="C00000"/>
          <w:sz w:val="34"/>
          <w:szCs w:val="34"/>
        </w:rPr>
      </w:pPr>
    </w:p>
    <w:p w14:paraId="148C619C" w14:textId="77777777" w:rsidR="00E61D3B" w:rsidRDefault="00E61D3B" w:rsidP="00F626BD">
      <w:pPr>
        <w:rPr>
          <w:rFonts w:ascii="Book Antiqua" w:hAnsi="Book Antiqua"/>
          <w:b/>
          <w:i/>
          <w:color w:val="C00000"/>
          <w:sz w:val="34"/>
          <w:szCs w:val="34"/>
        </w:rPr>
      </w:pPr>
    </w:p>
    <w:p w14:paraId="686590C1" w14:textId="77777777" w:rsidR="00C46020" w:rsidRDefault="00C46020" w:rsidP="00F626BD">
      <w:pPr>
        <w:rPr>
          <w:rFonts w:ascii="Book Antiqua" w:hAnsi="Book Antiqua"/>
          <w:b/>
          <w:i/>
          <w:color w:val="C00000"/>
          <w:sz w:val="34"/>
          <w:szCs w:val="34"/>
        </w:rPr>
      </w:pPr>
    </w:p>
    <w:p w14:paraId="1B6F3BA5" w14:textId="77777777" w:rsidR="00C46020" w:rsidRDefault="00C46020" w:rsidP="00F626BD">
      <w:pPr>
        <w:rPr>
          <w:rFonts w:ascii="Book Antiqua" w:hAnsi="Book Antiqua"/>
          <w:b/>
          <w:i/>
          <w:color w:val="C00000"/>
          <w:sz w:val="34"/>
          <w:szCs w:val="34"/>
        </w:rPr>
      </w:pPr>
    </w:p>
    <w:p w14:paraId="154FE244" w14:textId="77777777" w:rsidR="00C46020" w:rsidRDefault="00C46020" w:rsidP="00F626BD">
      <w:pPr>
        <w:rPr>
          <w:rFonts w:ascii="Book Antiqua" w:hAnsi="Book Antiqua"/>
          <w:b/>
          <w:i/>
          <w:color w:val="C00000"/>
          <w:sz w:val="34"/>
          <w:szCs w:val="34"/>
        </w:rPr>
      </w:pPr>
    </w:p>
    <w:p w14:paraId="34A7FC75" w14:textId="77777777" w:rsidR="00C46020" w:rsidRDefault="00C46020" w:rsidP="00F626BD">
      <w:pPr>
        <w:rPr>
          <w:rFonts w:ascii="Book Antiqua" w:hAnsi="Book Antiqua"/>
          <w:b/>
          <w:i/>
          <w:color w:val="C00000"/>
          <w:sz w:val="34"/>
          <w:szCs w:val="34"/>
        </w:rPr>
      </w:pPr>
    </w:p>
    <w:p w14:paraId="2B8CDF5C" w14:textId="77777777" w:rsidR="00C46020" w:rsidRDefault="00C46020" w:rsidP="00F626BD">
      <w:pPr>
        <w:rPr>
          <w:rFonts w:ascii="Book Antiqua" w:hAnsi="Book Antiqua"/>
          <w:b/>
          <w:i/>
          <w:color w:val="C00000"/>
          <w:sz w:val="34"/>
          <w:szCs w:val="34"/>
        </w:rPr>
      </w:pPr>
    </w:p>
    <w:p w14:paraId="2F4C4208" w14:textId="7C90E02C" w:rsidR="00F626BD" w:rsidRDefault="00F626BD" w:rsidP="006C5A3C">
      <w:pPr>
        <w:spacing w:after="240"/>
        <w:rPr>
          <w:rFonts w:ascii="Book Antiqua" w:hAnsi="Book Antiqua"/>
          <w:b/>
          <w:i/>
          <w:color w:val="C00000"/>
          <w:sz w:val="34"/>
          <w:szCs w:val="34"/>
        </w:rPr>
      </w:pPr>
      <w:r w:rsidRPr="006B26BE">
        <w:rPr>
          <w:rFonts w:ascii="Book Antiqua" w:hAnsi="Book Antiqua"/>
          <w:b/>
          <w:i/>
          <w:color w:val="C00000"/>
          <w:sz w:val="34"/>
          <w:szCs w:val="34"/>
        </w:rPr>
        <w:t>c)</w:t>
      </w:r>
      <w:r w:rsidRPr="006B26BE">
        <w:rPr>
          <w:rFonts w:ascii="Book Antiqua" w:hAnsi="Book Antiqua"/>
          <w:b/>
          <w:color w:val="C00000"/>
          <w:sz w:val="34"/>
          <w:szCs w:val="34"/>
        </w:rPr>
        <w:t xml:space="preserve"> </w:t>
      </w:r>
      <w:r w:rsidRPr="006B26BE">
        <w:rPr>
          <w:rFonts w:ascii="Book Antiqua" w:hAnsi="Book Antiqua"/>
          <w:b/>
          <w:i/>
          <w:color w:val="C00000"/>
          <w:sz w:val="34"/>
          <w:szCs w:val="34"/>
        </w:rPr>
        <w:t>Nadzor: izvještaji institucija EU</w:t>
      </w:r>
    </w:p>
    <w:tbl>
      <w:tblPr>
        <w:tblStyle w:val="PlainTable31"/>
        <w:tblW w:w="9209" w:type="dxa"/>
        <w:tblLayout w:type="fixed"/>
        <w:tblLook w:val="04A0" w:firstRow="1" w:lastRow="0" w:firstColumn="1" w:lastColumn="0" w:noHBand="0" w:noVBand="1"/>
      </w:tblPr>
      <w:tblGrid>
        <w:gridCol w:w="2694"/>
        <w:gridCol w:w="2976"/>
        <w:gridCol w:w="1271"/>
        <w:gridCol w:w="2268"/>
      </w:tblGrid>
      <w:tr w:rsidR="00F626BD" w:rsidRPr="004820CC" w14:paraId="39BFA769" w14:textId="77777777" w:rsidTr="00B606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9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0" w:space="0" w:color="auto"/>
            </w:tcBorders>
            <w:shd w:val="clear" w:color="auto" w:fill="D9D9D9" w:themeFill="background1" w:themeFillShade="D9"/>
            <w:vAlign w:val="center"/>
          </w:tcPr>
          <w:p w14:paraId="1CD4FA1E" w14:textId="77777777" w:rsidR="00F626BD" w:rsidRPr="004820CC" w:rsidRDefault="00F626BD" w:rsidP="00B60646">
            <w:pPr>
              <w:spacing w:after="120"/>
              <w:jc w:val="center"/>
              <w:rPr>
                <w:rFonts w:ascii="Book Antiqua" w:hAnsi="Book Antiqua"/>
                <w:b w:val="0"/>
                <w:sz w:val="22"/>
                <w:szCs w:val="22"/>
              </w:rPr>
            </w:pPr>
            <w:r w:rsidRPr="004820CC">
              <w:rPr>
                <w:rFonts w:ascii="Book Antiqua" w:hAnsi="Book Antiqua"/>
                <w:sz w:val="22"/>
                <w:szCs w:val="22"/>
              </w:rPr>
              <w:t>TEMA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8C184E" w14:textId="77777777" w:rsidR="00F626BD" w:rsidRPr="004820CC" w:rsidRDefault="00F626BD" w:rsidP="00B60646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sz w:val="22"/>
                <w:szCs w:val="22"/>
              </w:rPr>
            </w:pPr>
            <w:r w:rsidRPr="004820CC">
              <w:rPr>
                <w:rFonts w:ascii="Book Antiqua" w:hAnsi="Book Antiqua"/>
                <w:sz w:val="22"/>
                <w:szCs w:val="22"/>
              </w:rPr>
              <w:t>OPIS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8D4625" w14:textId="77777777" w:rsidR="00F626BD" w:rsidRPr="004820CC" w:rsidRDefault="00F626BD" w:rsidP="00B60646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sz w:val="22"/>
                <w:szCs w:val="22"/>
              </w:rPr>
            </w:pPr>
            <w:r w:rsidRPr="004820CC">
              <w:rPr>
                <w:rFonts w:ascii="Book Antiqua" w:hAnsi="Book Antiqua"/>
                <w:sz w:val="22"/>
                <w:szCs w:val="22"/>
              </w:rPr>
              <w:t>ROK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C8E32A" w14:textId="77777777" w:rsidR="00F626BD" w:rsidRPr="004820CC" w:rsidRDefault="00F626BD" w:rsidP="00B60646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b w:val="0"/>
                <w:sz w:val="22"/>
                <w:szCs w:val="22"/>
                <w:highlight w:val="yellow"/>
              </w:rPr>
            </w:pPr>
            <w:r w:rsidRPr="004820CC">
              <w:rPr>
                <w:rFonts w:ascii="Book Antiqua" w:hAnsi="Book Antiqua"/>
                <w:sz w:val="22"/>
                <w:szCs w:val="22"/>
              </w:rPr>
              <w:t>UČEŠĆe na sjedNICI</w:t>
            </w:r>
          </w:p>
        </w:tc>
      </w:tr>
      <w:tr w:rsidR="00674593" w:rsidRPr="004820CC" w14:paraId="337809DA" w14:textId="77777777" w:rsidTr="00B606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auto"/>
            </w:tcBorders>
            <w:vAlign w:val="center"/>
          </w:tcPr>
          <w:p w14:paraId="087A55BF" w14:textId="77777777" w:rsidR="00F626BD" w:rsidRPr="004820CC" w:rsidRDefault="00F626BD" w:rsidP="00B60646">
            <w:pPr>
              <w:spacing w:after="120"/>
              <w:jc w:val="center"/>
              <w:rPr>
                <w:rFonts w:ascii="Book Antiqua" w:eastAsia="Calibri" w:hAnsi="Book Antiqua"/>
                <w:sz w:val="22"/>
                <w:szCs w:val="22"/>
              </w:rPr>
            </w:pPr>
            <w:r>
              <w:rPr>
                <w:rFonts w:ascii="Book Antiqua" w:eastAsia="Calibri" w:hAnsi="Book Antiqua"/>
                <w:caps w:val="0"/>
                <w:sz w:val="22"/>
                <w:szCs w:val="22"/>
              </w:rPr>
              <w:t>Rezolucija</w:t>
            </w:r>
            <w:r w:rsidRPr="004820CC">
              <w:rPr>
                <w:rFonts w:ascii="Book Antiqua" w:eastAsia="Calibri" w:hAnsi="Book Antiqua"/>
                <w:caps w:val="0"/>
                <w:sz w:val="22"/>
                <w:szCs w:val="22"/>
              </w:rPr>
              <w:t xml:space="preserve"> Evropsk</w:t>
            </w:r>
            <w:r>
              <w:rPr>
                <w:rFonts w:ascii="Book Antiqua" w:eastAsia="Calibri" w:hAnsi="Book Antiqua"/>
                <w:caps w:val="0"/>
                <w:sz w:val="22"/>
                <w:szCs w:val="22"/>
              </w:rPr>
              <w:t>og</w:t>
            </w:r>
            <w:r w:rsidRPr="004820CC">
              <w:rPr>
                <w:rFonts w:ascii="Book Antiqua" w:eastAsia="Calibri" w:hAnsi="Book Antiqua"/>
                <w:caps w:val="0"/>
                <w:sz w:val="22"/>
                <w:szCs w:val="22"/>
              </w:rPr>
              <w:t xml:space="preserve"> </w:t>
            </w:r>
            <w:r>
              <w:rPr>
                <w:rFonts w:ascii="Book Antiqua" w:eastAsia="Calibri" w:hAnsi="Book Antiqua"/>
                <w:caps w:val="0"/>
                <w:sz w:val="22"/>
                <w:szCs w:val="22"/>
              </w:rPr>
              <w:t>parlamenta</w:t>
            </w:r>
            <w:r w:rsidRPr="004820CC">
              <w:rPr>
                <w:rFonts w:ascii="Book Antiqua" w:eastAsia="Calibri" w:hAnsi="Book Antiqua"/>
                <w:caps w:val="0"/>
                <w:sz w:val="22"/>
                <w:szCs w:val="22"/>
              </w:rPr>
              <w:t xml:space="preserve"> o Crnoj Gori</w:t>
            </w:r>
            <w:r>
              <w:rPr>
                <w:rFonts w:ascii="Book Antiqua" w:eastAsia="Calibri" w:hAnsi="Book Antiqua"/>
                <w:caps w:val="0"/>
                <w:sz w:val="22"/>
                <w:szCs w:val="22"/>
              </w:rPr>
              <w:t xml:space="preserve"> iz</w:t>
            </w:r>
            <w:r w:rsidRPr="004820CC">
              <w:rPr>
                <w:rFonts w:ascii="Book Antiqua" w:eastAsia="Calibri" w:hAnsi="Book Antiqua"/>
                <w:caps w:val="0"/>
                <w:sz w:val="22"/>
                <w:szCs w:val="22"/>
              </w:rPr>
              <w:t xml:space="preserve"> 2021. godin</w:t>
            </w:r>
            <w:r>
              <w:rPr>
                <w:rFonts w:ascii="Book Antiqua" w:eastAsia="Calibri" w:hAnsi="Book Antiqua"/>
                <w:caps w:val="0"/>
                <w:sz w:val="22"/>
                <w:szCs w:val="22"/>
              </w:rPr>
              <w:t>e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58382327" w14:textId="77777777" w:rsidR="00F626BD" w:rsidRPr="004820CC" w:rsidRDefault="00F626BD" w:rsidP="00B60646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Calibri" w:hAnsi="Book Antiqua"/>
                <w:sz w:val="22"/>
                <w:szCs w:val="22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 xml:space="preserve">Ključni nalazi i preporuke </w:t>
            </w:r>
            <w:r w:rsidRPr="004820CC">
              <w:rPr>
                <w:rFonts w:ascii="Book Antiqua" w:eastAsia="Calibri" w:hAnsi="Book Antiqua"/>
                <w:sz w:val="22"/>
                <w:szCs w:val="22"/>
              </w:rPr>
              <w:t>o napretku Crne Gore u procesu pristupanja Evropskoj uniji</w:t>
            </w:r>
          </w:p>
        </w:tc>
        <w:tc>
          <w:tcPr>
            <w:tcW w:w="1271" w:type="dxa"/>
            <w:vAlign w:val="center"/>
          </w:tcPr>
          <w:p w14:paraId="7CA973CB" w14:textId="2CD7654C" w:rsidR="00F626BD" w:rsidRPr="004820CC" w:rsidRDefault="00674593" w:rsidP="00B60646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Calibri" w:hAnsi="Book Antiqua"/>
                <w:sz w:val="22"/>
                <w:szCs w:val="22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>maj/jun</w:t>
            </w:r>
            <w:r w:rsidR="00F626BD" w:rsidRPr="004820CC">
              <w:rPr>
                <w:rFonts w:ascii="Book Antiqua" w:eastAsia="Calibri" w:hAnsi="Book Antiqua"/>
                <w:sz w:val="22"/>
                <w:szCs w:val="22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14:paraId="0BCC30C7" w14:textId="77777777" w:rsidR="00F626BD" w:rsidRPr="004820CC" w:rsidRDefault="00F626BD" w:rsidP="00B60646">
            <w:pPr>
              <w:spacing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Calibri" w:hAnsi="Book Antiqua"/>
                <w:sz w:val="22"/>
                <w:szCs w:val="22"/>
              </w:rPr>
            </w:pPr>
            <w:r>
              <w:rPr>
                <w:rFonts w:ascii="Book Antiqua" w:eastAsia="Calibri" w:hAnsi="Book Antiqua"/>
                <w:sz w:val="22"/>
                <w:szCs w:val="22"/>
              </w:rPr>
              <w:t>izvjestilac Evropskog parlamenta za Crnu Goru,</w:t>
            </w:r>
            <w:r w:rsidRPr="004820CC">
              <w:rPr>
                <w:rFonts w:ascii="Book Antiqua" w:eastAsia="Calibri" w:hAnsi="Book Antiqua"/>
                <w:sz w:val="22"/>
                <w:szCs w:val="22"/>
              </w:rPr>
              <w:t xml:space="preserve"> </w:t>
            </w:r>
            <w:r>
              <w:rPr>
                <w:rFonts w:ascii="Book Antiqua" w:eastAsia="Calibri" w:hAnsi="Book Antiqua"/>
                <w:sz w:val="22"/>
                <w:szCs w:val="22"/>
              </w:rPr>
              <w:br/>
            </w:r>
            <w:r w:rsidRPr="004820CC">
              <w:rPr>
                <w:rFonts w:ascii="Book Antiqua" w:eastAsia="Calibri" w:hAnsi="Book Antiqua"/>
                <w:sz w:val="22"/>
                <w:szCs w:val="22"/>
              </w:rPr>
              <w:t>Delegacija Evropske unije u Crnoj Gori</w:t>
            </w:r>
          </w:p>
        </w:tc>
      </w:tr>
      <w:tr w:rsidR="00674593" w:rsidRPr="004820CC" w14:paraId="3ED4B608" w14:textId="77777777" w:rsidTr="00B60646">
        <w:trPr>
          <w:trHeight w:val="1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right w:val="single" w:sz="4" w:space="0" w:color="auto"/>
            </w:tcBorders>
            <w:vAlign w:val="center"/>
          </w:tcPr>
          <w:p w14:paraId="285AF53F" w14:textId="77777777" w:rsidR="00674593" w:rsidRPr="004820CC" w:rsidRDefault="00674593" w:rsidP="00B60646">
            <w:pPr>
              <w:spacing w:after="120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caps w:val="0"/>
                <w:sz w:val="22"/>
                <w:szCs w:val="22"/>
              </w:rPr>
              <w:t>Izvještaj Evropske komisije o Crnoj Gori za 2021. godinu</w:t>
            </w:r>
          </w:p>
        </w:tc>
        <w:tc>
          <w:tcPr>
            <w:tcW w:w="2976" w:type="dxa"/>
            <w:tcBorders>
              <w:left w:val="single" w:sz="4" w:space="0" w:color="auto"/>
            </w:tcBorders>
            <w:vAlign w:val="center"/>
          </w:tcPr>
          <w:p w14:paraId="447F4BA7" w14:textId="77777777" w:rsidR="00674593" w:rsidRPr="004820CC" w:rsidRDefault="00674593" w:rsidP="00B60646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 xml:space="preserve">Ključni nalazi o napretku Crne Gore u procesu pristupanja Evropskoj uniji </w:t>
            </w:r>
          </w:p>
        </w:tc>
        <w:tc>
          <w:tcPr>
            <w:tcW w:w="1271" w:type="dxa"/>
            <w:vAlign w:val="center"/>
          </w:tcPr>
          <w:p w14:paraId="6286105F" w14:textId="77777777" w:rsidR="00674593" w:rsidRPr="004820CC" w:rsidRDefault="00674593" w:rsidP="00B60646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 xml:space="preserve">nakon objavljivanja  </w:t>
            </w:r>
          </w:p>
        </w:tc>
        <w:tc>
          <w:tcPr>
            <w:tcW w:w="2268" w:type="dxa"/>
            <w:vAlign w:val="center"/>
          </w:tcPr>
          <w:p w14:paraId="4C2EEA06" w14:textId="77777777" w:rsidR="00674593" w:rsidRPr="004820CC" w:rsidRDefault="00674593" w:rsidP="00B60646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/>
                <w:sz w:val="22"/>
                <w:szCs w:val="22"/>
                <w:highlight w:val="yellow"/>
              </w:rPr>
            </w:pPr>
            <w:r w:rsidRPr="004820CC">
              <w:rPr>
                <w:rFonts w:ascii="Book Antiqua" w:eastAsia="Calibri" w:hAnsi="Book Antiqua"/>
                <w:sz w:val="22"/>
                <w:szCs w:val="22"/>
              </w:rPr>
              <w:t>Delegacija Evropske unije u Crnoj Gori</w:t>
            </w:r>
          </w:p>
        </w:tc>
      </w:tr>
    </w:tbl>
    <w:p w14:paraId="0A593F10" w14:textId="77777777" w:rsidR="00F626BD" w:rsidRDefault="00F626BD" w:rsidP="00F626BD">
      <w:pPr>
        <w:rPr>
          <w:rFonts w:ascii="Book Antiqua" w:hAnsi="Book Antiqua"/>
          <w:b/>
          <w:i/>
          <w:color w:val="C00000"/>
          <w:sz w:val="34"/>
          <w:szCs w:val="34"/>
        </w:rPr>
      </w:pPr>
    </w:p>
    <w:p w14:paraId="529984A4" w14:textId="525F48F7" w:rsidR="00996864" w:rsidRPr="006B26BE" w:rsidRDefault="00996864" w:rsidP="00996864">
      <w:pPr>
        <w:spacing w:before="0" w:after="160" w:line="259" w:lineRule="auto"/>
        <w:jc w:val="both"/>
        <w:rPr>
          <w:rFonts w:ascii="Book Antiqua" w:hAnsi="Book Antiqua"/>
          <w:noProof/>
          <w:szCs w:val="20"/>
        </w:rPr>
      </w:pPr>
      <w:r>
        <w:rPr>
          <w:rFonts w:ascii="Book Antiqua" w:hAnsi="Book Antiqua"/>
          <w:noProof/>
          <w:szCs w:val="20"/>
        </w:rPr>
        <w:t xml:space="preserve">Napomena: </w:t>
      </w:r>
      <w:r w:rsidRPr="00996864">
        <w:rPr>
          <w:rFonts w:ascii="Book Antiqua" w:hAnsi="Book Antiqua"/>
          <w:noProof/>
          <w:szCs w:val="20"/>
        </w:rPr>
        <w:t>Nezvanični radni dokument</w:t>
      </w:r>
      <w:r>
        <w:rPr>
          <w:rFonts w:ascii="Book Antiqua" w:hAnsi="Book Antiqua"/>
          <w:noProof/>
          <w:szCs w:val="20"/>
        </w:rPr>
        <w:t>i Evropske komisije</w:t>
      </w:r>
      <w:r w:rsidRPr="00996864">
        <w:rPr>
          <w:rFonts w:ascii="Book Antiqua" w:hAnsi="Book Antiqua"/>
          <w:noProof/>
          <w:szCs w:val="20"/>
        </w:rPr>
        <w:t xml:space="preserve"> o stanju u poglavljima 23 i 24</w:t>
      </w:r>
      <w:r>
        <w:rPr>
          <w:rFonts w:ascii="Book Antiqua" w:hAnsi="Book Antiqua"/>
          <w:noProof/>
          <w:szCs w:val="20"/>
        </w:rPr>
        <w:t xml:space="preserve"> će biti razmatrani na konsultativnim saslušanjima posvećenim poglavljima 23 i 24</w:t>
      </w:r>
      <w:r w:rsidRPr="006B26BE">
        <w:rPr>
          <w:rFonts w:ascii="Book Antiqua" w:hAnsi="Book Antiqua"/>
          <w:noProof/>
          <w:szCs w:val="20"/>
        </w:rPr>
        <w:t xml:space="preserve">. </w:t>
      </w:r>
    </w:p>
    <w:p w14:paraId="42DFFD1E" w14:textId="77777777" w:rsidR="00996864" w:rsidRDefault="00996864" w:rsidP="00F626BD">
      <w:pPr>
        <w:rPr>
          <w:rFonts w:ascii="Book Antiqua" w:hAnsi="Book Antiqua"/>
          <w:b/>
          <w:i/>
          <w:color w:val="C00000"/>
          <w:sz w:val="34"/>
          <w:szCs w:val="34"/>
        </w:rPr>
      </w:pPr>
    </w:p>
    <w:p w14:paraId="162B14ED" w14:textId="77777777" w:rsidR="00BA000E" w:rsidRDefault="00BA000E" w:rsidP="00886EB3">
      <w:pPr>
        <w:jc w:val="both"/>
        <w:rPr>
          <w:rFonts w:ascii="Book Antiqua" w:hAnsi="Book Antiqua"/>
          <w:b/>
          <w:i/>
          <w:color w:val="C00000"/>
          <w:sz w:val="34"/>
          <w:szCs w:val="34"/>
        </w:rPr>
      </w:pPr>
    </w:p>
    <w:p w14:paraId="7FD6E4AD" w14:textId="2ECF9AC4" w:rsidR="00886EB3" w:rsidRPr="006B26BE" w:rsidRDefault="00F626BD" w:rsidP="00886EB3">
      <w:pPr>
        <w:jc w:val="both"/>
        <w:rPr>
          <w:rFonts w:ascii="Book Antiqua" w:hAnsi="Book Antiqua"/>
          <w:b/>
          <w:color w:val="C00000"/>
          <w:sz w:val="34"/>
          <w:szCs w:val="34"/>
        </w:rPr>
      </w:pPr>
      <w:r w:rsidRPr="006B26BE">
        <w:rPr>
          <w:rFonts w:ascii="Book Antiqua" w:hAnsi="Book Antiqua"/>
          <w:b/>
          <w:i/>
          <w:color w:val="C00000"/>
          <w:sz w:val="34"/>
          <w:szCs w:val="34"/>
        </w:rPr>
        <w:t>d</w:t>
      </w:r>
      <w:r w:rsidR="00AA2217" w:rsidRPr="006B26BE">
        <w:rPr>
          <w:rFonts w:ascii="Book Antiqua" w:hAnsi="Book Antiqua"/>
          <w:b/>
          <w:i/>
          <w:color w:val="C00000"/>
          <w:sz w:val="34"/>
          <w:szCs w:val="34"/>
        </w:rPr>
        <w:t>)</w:t>
      </w:r>
      <w:r w:rsidR="00886EB3" w:rsidRPr="006B26BE">
        <w:rPr>
          <w:rFonts w:ascii="Book Antiqua" w:hAnsi="Book Antiqua"/>
          <w:b/>
          <w:color w:val="C00000"/>
          <w:sz w:val="34"/>
          <w:szCs w:val="34"/>
        </w:rPr>
        <w:t xml:space="preserve"> </w:t>
      </w:r>
      <w:r w:rsidR="009C21EC" w:rsidRPr="006B26BE">
        <w:rPr>
          <w:rFonts w:ascii="Book Antiqua" w:hAnsi="Book Antiqua"/>
          <w:b/>
          <w:i/>
          <w:color w:val="C00000"/>
          <w:sz w:val="34"/>
          <w:szCs w:val="34"/>
        </w:rPr>
        <w:t>Nadzor: pregovarački proces</w:t>
      </w:r>
    </w:p>
    <w:p w14:paraId="5511B1A9" w14:textId="5DDA866D" w:rsidR="00674593" w:rsidRPr="006B26BE" w:rsidRDefault="00BC0B68" w:rsidP="00674593">
      <w:pPr>
        <w:spacing w:before="0" w:after="160" w:line="259" w:lineRule="auto"/>
        <w:jc w:val="both"/>
        <w:rPr>
          <w:rFonts w:ascii="Book Antiqua" w:hAnsi="Book Antiqua"/>
          <w:noProof/>
          <w:szCs w:val="20"/>
        </w:rPr>
      </w:pPr>
      <w:r w:rsidRPr="006B26BE">
        <w:rPr>
          <w:rFonts w:ascii="Book Antiqua" w:hAnsi="Book Antiqua"/>
        </w:rPr>
        <w:br/>
      </w:r>
      <w:r w:rsidR="00674593" w:rsidRPr="006B26BE">
        <w:rPr>
          <w:rFonts w:ascii="Book Antiqua" w:hAnsi="Book Antiqua"/>
          <w:noProof/>
          <w:szCs w:val="20"/>
        </w:rPr>
        <w:t xml:space="preserve">Odbor će u 2021. godini biti intenzivno pratiti sprovođenje reformi/harmonizovane legislative, kao i aktivnosti nadležnih institucija i ispunjavanje obaveza za zatvaranje pregovaračkih poglavlja. Cilj realizovanih aktivnosti biće da se obezbijedi uvid u realno stanje stvari i skrene pažnja na konkretne izazove, kako bi Odbor dao doprinos kvalitetu cjelokupnog procesa. </w:t>
      </w:r>
    </w:p>
    <w:p w14:paraId="1D7DB6A1" w14:textId="51676C91" w:rsidR="00F578FB" w:rsidRPr="006025D1" w:rsidRDefault="00674593" w:rsidP="00674593">
      <w:pPr>
        <w:spacing w:before="0" w:after="160" w:line="259" w:lineRule="auto"/>
        <w:jc w:val="both"/>
        <w:rPr>
          <w:rFonts w:ascii="Book Antiqua" w:hAnsi="Book Antiqua"/>
          <w:noProof/>
          <w:szCs w:val="20"/>
        </w:rPr>
      </w:pPr>
      <w:r w:rsidRPr="006B26BE">
        <w:rPr>
          <w:rFonts w:ascii="Book Antiqua" w:hAnsi="Book Antiqua"/>
          <w:noProof/>
          <w:szCs w:val="20"/>
        </w:rPr>
        <w:t xml:space="preserve">Odbor će </w:t>
      </w:r>
      <w:r w:rsidR="00F578FB" w:rsidRPr="006B26BE">
        <w:rPr>
          <w:rFonts w:ascii="Book Antiqua" w:hAnsi="Book Antiqua"/>
          <w:noProof/>
          <w:szCs w:val="20"/>
        </w:rPr>
        <w:t>se u ovoj godini</w:t>
      </w:r>
      <w:r w:rsidRPr="006B26BE">
        <w:rPr>
          <w:rFonts w:ascii="Book Antiqua" w:hAnsi="Book Antiqua"/>
          <w:noProof/>
          <w:szCs w:val="20"/>
        </w:rPr>
        <w:t xml:space="preserve"> </w:t>
      </w:r>
      <w:r w:rsidR="00F578FB" w:rsidRPr="006B26BE">
        <w:rPr>
          <w:rFonts w:ascii="Book Antiqua" w:hAnsi="Book Antiqua"/>
          <w:noProof/>
          <w:szCs w:val="20"/>
        </w:rPr>
        <w:t>posebno baviti temama zdravlja (poglavlj</w:t>
      </w:r>
      <w:r w:rsidR="00E61D3B" w:rsidRPr="006B26BE">
        <w:rPr>
          <w:rFonts w:ascii="Book Antiqua" w:hAnsi="Book Antiqua"/>
          <w:noProof/>
          <w:szCs w:val="20"/>
        </w:rPr>
        <w:t>e</w:t>
      </w:r>
      <w:r w:rsidR="00F578FB" w:rsidRPr="006B26BE">
        <w:rPr>
          <w:rFonts w:ascii="Book Antiqua" w:hAnsi="Book Antiqua"/>
          <w:noProof/>
          <w:szCs w:val="20"/>
        </w:rPr>
        <w:t xml:space="preserve"> </w:t>
      </w:r>
      <w:r w:rsidR="00E61D3B" w:rsidRPr="006B26BE">
        <w:rPr>
          <w:rFonts w:ascii="Book Antiqua" w:hAnsi="Book Antiqua"/>
          <w:noProof/>
          <w:szCs w:val="20"/>
        </w:rPr>
        <w:t>28 – Zaštita potrošača i zdravlja i horizontalno ostala poglavlja)</w:t>
      </w:r>
      <w:r w:rsidR="00F578FB" w:rsidRPr="006B26BE">
        <w:rPr>
          <w:rFonts w:ascii="Book Antiqua" w:hAnsi="Book Antiqua"/>
          <w:noProof/>
          <w:szCs w:val="20"/>
        </w:rPr>
        <w:t xml:space="preserve"> i digitalizacije (poglavlj</w:t>
      </w:r>
      <w:r w:rsidR="00E61D3B" w:rsidRPr="006B26BE">
        <w:rPr>
          <w:rFonts w:ascii="Book Antiqua" w:hAnsi="Book Antiqua"/>
          <w:noProof/>
          <w:szCs w:val="20"/>
        </w:rPr>
        <w:t>e</w:t>
      </w:r>
      <w:r w:rsidR="00F578FB" w:rsidRPr="006B26BE">
        <w:rPr>
          <w:rFonts w:ascii="Book Antiqua" w:hAnsi="Book Antiqua"/>
          <w:noProof/>
          <w:szCs w:val="20"/>
        </w:rPr>
        <w:t xml:space="preserve"> </w:t>
      </w:r>
      <w:r w:rsidR="00E61D3B" w:rsidRPr="006B26BE">
        <w:rPr>
          <w:rFonts w:ascii="Book Antiqua" w:hAnsi="Book Antiqua"/>
          <w:noProof/>
          <w:szCs w:val="20"/>
        </w:rPr>
        <w:t xml:space="preserve">10 – </w:t>
      </w:r>
      <w:r w:rsidR="00E61D3B" w:rsidRPr="006025D1">
        <w:rPr>
          <w:rFonts w:ascii="Book Antiqua" w:hAnsi="Book Antiqua"/>
          <w:noProof/>
          <w:szCs w:val="20"/>
        </w:rPr>
        <w:t>Informatičko društvo i mediji i horizontalno ostala poglavlja</w:t>
      </w:r>
      <w:r w:rsidR="009E560F" w:rsidRPr="006025D1">
        <w:rPr>
          <w:rFonts w:ascii="Book Antiqua" w:hAnsi="Book Antiqua"/>
          <w:noProof/>
          <w:szCs w:val="20"/>
        </w:rPr>
        <w:t>, s posebnim osvrtom na medije i društvene mreže</w:t>
      </w:r>
      <w:r w:rsidR="00E61D3B" w:rsidRPr="006025D1">
        <w:rPr>
          <w:rFonts w:ascii="Book Antiqua" w:hAnsi="Book Antiqua"/>
          <w:noProof/>
          <w:szCs w:val="20"/>
        </w:rPr>
        <w:t>)</w:t>
      </w:r>
      <w:r w:rsidR="00F578FB" w:rsidRPr="006025D1">
        <w:rPr>
          <w:rFonts w:ascii="Book Antiqua" w:hAnsi="Book Antiqua"/>
          <w:noProof/>
          <w:szCs w:val="20"/>
        </w:rPr>
        <w:t xml:space="preserve">. </w:t>
      </w:r>
    </w:p>
    <w:p w14:paraId="71DF5BAB" w14:textId="7AD3FB07" w:rsidR="00674593" w:rsidRPr="00674593" w:rsidRDefault="00F578FB" w:rsidP="00674593">
      <w:pPr>
        <w:spacing w:before="0" w:after="160" w:line="259" w:lineRule="auto"/>
        <w:jc w:val="both"/>
        <w:rPr>
          <w:rFonts w:ascii="Book Antiqua" w:hAnsi="Book Antiqua"/>
          <w:noProof/>
          <w:szCs w:val="20"/>
        </w:rPr>
      </w:pPr>
      <w:r w:rsidRPr="006B26BE">
        <w:rPr>
          <w:rFonts w:ascii="Book Antiqua" w:hAnsi="Book Antiqua"/>
          <w:noProof/>
          <w:szCs w:val="20"/>
        </w:rPr>
        <w:t>Predlog konkretnih aktivnosti i način njihovog sprovođenja biće definisani u zavisnosti od epidemiološke situacije u Crnoj Gori, a vrste realizovanih aktivnosti mogu uključivati: tematske sastanke i okrugle stolove, sastanke sa relevantnim institucijama, posjete opštinama, obilazak interesantnih/značajnih projekata i lokacija, te konsultativna saslušanja.</w:t>
      </w:r>
    </w:p>
    <w:p w14:paraId="63F2FFCC" w14:textId="2828CB92" w:rsidR="00936C0D" w:rsidRDefault="00936C0D" w:rsidP="004C5506">
      <w:pPr>
        <w:jc w:val="both"/>
        <w:rPr>
          <w:rFonts w:ascii="Book Antiqua" w:hAnsi="Book Antiqua"/>
          <w:sz w:val="22"/>
          <w:szCs w:val="22"/>
        </w:rPr>
      </w:pPr>
    </w:p>
    <w:p w14:paraId="5CBAD07F" w14:textId="77777777" w:rsidR="00B40FAF" w:rsidRDefault="00B40FAF" w:rsidP="004C5506">
      <w:pPr>
        <w:jc w:val="both"/>
        <w:rPr>
          <w:rFonts w:ascii="Book Antiqua" w:hAnsi="Book Antiqua"/>
          <w:sz w:val="22"/>
          <w:szCs w:val="22"/>
        </w:rPr>
      </w:pPr>
    </w:p>
    <w:p w14:paraId="765CD796" w14:textId="77777777" w:rsidR="00E61D3B" w:rsidRDefault="00E61D3B" w:rsidP="004C5506">
      <w:pPr>
        <w:jc w:val="both"/>
        <w:rPr>
          <w:rFonts w:ascii="Book Antiqua" w:hAnsi="Book Antiqua"/>
          <w:sz w:val="22"/>
          <w:szCs w:val="22"/>
        </w:rPr>
      </w:pPr>
    </w:p>
    <w:p w14:paraId="5F9C74AC" w14:textId="77777777" w:rsidR="006C5A3C" w:rsidRDefault="006C5A3C" w:rsidP="004C5506">
      <w:pPr>
        <w:jc w:val="both"/>
        <w:rPr>
          <w:rFonts w:ascii="Book Antiqua" w:hAnsi="Book Antiqua"/>
          <w:b/>
          <w:color w:val="C00000"/>
          <w:sz w:val="34"/>
          <w:szCs w:val="34"/>
        </w:rPr>
      </w:pPr>
    </w:p>
    <w:p w14:paraId="00B0D2DD" w14:textId="7DD48E91" w:rsidR="004C5506" w:rsidRPr="00367F02" w:rsidRDefault="00AA2217" w:rsidP="004C5506">
      <w:pPr>
        <w:jc w:val="both"/>
        <w:rPr>
          <w:rFonts w:ascii="Book Antiqua" w:hAnsi="Book Antiqua"/>
          <w:b/>
          <w:color w:val="C00000"/>
          <w:sz w:val="34"/>
          <w:szCs w:val="34"/>
        </w:rPr>
      </w:pPr>
      <w:r w:rsidRPr="00367F02">
        <w:rPr>
          <w:rFonts w:ascii="Book Antiqua" w:hAnsi="Book Antiqua"/>
          <w:b/>
          <w:color w:val="C00000"/>
          <w:sz w:val="34"/>
          <w:szCs w:val="34"/>
        </w:rPr>
        <w:t>III</w:t>
      </w:r>
      <w:r w:rsidR="00AC7B07" w:rsidRPr="00367F02">
        <w:rPr>
          <w:rFonts w:ascii="Book Antiqua" w:hAnsi="Book Antiqua"/>
          <w:b/>
          <w:color w:val="C00000"/>
          <w:sz w:val="34"/>
          <w:szCs w:val="34"/>
        </w:rPr>
        <w:t xml:space="preserve"> </w:t>
      </w:r>
      <w:r w:rsidR="004C5506" w:rsidRPr="00367F02">
        <w:rPr>
          <w:rFonts w:ascii="Book Antiqua" w:hAnsi="Book Antiqua"/>
          <w:b/>
          <w:color w:val="C00000"/>
          <w:sz w:val="34"/>
          <w:szCs w:val="34"/>
        </w:rPr>
        <w:t>Međunarodne aktivnosti</w:t>
      </w:r>
    </w:p>
    <w:p w14:paraId="2A5D1715" w14:textId="58D17B27" w:rsidR="00364D61" w:rsidRPr="00503F98" w:rsidRDefault="00364D61" w:rsidP="00BA000E">
      <w:pPr>
        <w:spacing w:after="360"/>
        <w:jc w:val="both"/>
        <w:rPr>
          <w:rFonts w:ascii="Book Antiqua" w:hAnsi="Book Antiqua"/>
        </w:rPr>
      </w:pPr>
      <w:r>
        <w:rPr>
          <w:rFonts w:ascii="Book Antiqua" w:hAnsi="Book Antiqua"/>
          <w:b/>
          <w:color w:val="C00000"/>
          <w:sz w:val="36"/>
          <w:szCs w:val="36"/>
        </w:rPr>
        <w:br/>
      </w:r>
      <w:r w:rsidR="003315A8" w:rsidRPr="00BA000E">
        <w:rPr>
          <w:rFonts w:ascii="Book Antiqua" w:hAnsi="Book Antiqua"/>
          <w:u w:val="single"/>
        </w:rPr>
        <w:t>Napomena</w:t>
      </w:r>
      <w:r w:rsidR="003315A8" w:rsidRPr="00BA000E">
        <w:rPr>
          <w:rFonts w:ascii="Book Antiqua" w:hAnsi="Book Antiqua"/>
        </w:rPr>
        <w:t xml:space="preserve">: S obzirom na epidemiološku situaciju, </w:t>
      </w:r>
      <w:r w:rsidR="00BA000E">
        <w:rPr>
          <w:rFonts w:ascii="Book Antiqua" w:hAnsi="Book Antiqua"/>
        </w:rPr>
        <w:t>u najvećem dijelu</w:t>
      </w:r>
      <w:r w:rsidR="003315A8" w:rsidRPr="00BA000E">
        <w:rPr>
          <w:rFonts w:ascii="Book Antiqua" w:hAnsi="Book Antiqua"/>
        </w:rPr>
        <w:t xml:space="preserve"> podrazumijeva organizaciju sastanaka putem video – konferencija.</w:t>
      </w:r>
    </w:p>
    <w:tbl>
      <w:tblPr>
        <w:tblStyle w:val="PlainTable311"/>
        <w:tblW w:w="5000" w:type="pct"/>
        <w:jc w:val="center"/>
        <w:tblLook w:val="04A0" w:firstRow="1" w:lastRow="0" w:firstColumn="1" w:lastColumn="0" w:noHBand="0" w:noVBand="1"/>
      </w:tblPr>
      <w:tblGrid>
        <w:gridCol w:w="5388"/>
        <w:gridCol w:w="3682"/>
      </w:tblGrid>
      <w:tr w:rsidR="00503F98" w:rsidRPr="00A742A9" w14:paraId="581F5FC5" w14:textId="77777777" w:rsidTr="008727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8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0" w:type="pct"/>
            <w:vAlign w:val="center"/>
          </w:tcPr>
          <w:p w14:paraId="50428FE5" w14:textId="77777777" w:rsidR="00503F98" w:rsidRPr="00A742A9" w:rsidRDefault="00503F98" w:rsidP="008727C8">
            <w:pPr>
              <w:spacing w:after="120"/>
              <w:jc w:val="center"/>
              <w:rPr>
                <w:rFonts w:ascii="Book Antiqua" w:eastAsia="Calibri" w:hAnsi="Book Antiqua"/>
              </w:rPr>
            </w:pPr>
            <w:r w:rsidRPr="00A742A9">
              <w:rPr>
                <w:rFonts w:ascii="Book Antiqua" w:eastAsia="Calibri" w:hAnsi="Book Antiqua"/>
              </w:rPr>
              <w:t>PLANIRANA AKTIVNOST</w:t>
            </w:r>
          </w:p>
        </w:tc>
        <w:tc>
          <w:tcPr>
            <w:tcW w:w="2030" w:type="pct"/>
            <w:vAlign w:val="center"/>
          </w:tcPr>
          <w:p w14:paraId="249736D5" w14:textId="77777777" w:rsidR="00503F98" w:rsidRPr="00A742A9" w:rsidRDefault="00503F98" w:rsidP="008727C8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Calibri" w:hAnsi="Book Antiqua"/>
              </w:rPr>
            </w:pPr>
            <w:r w:rsidRPr="00A742A9">
              <w:rPr>
                <w:rFonts w:ascii="Book Antiqua" w:eastAsia="Calibri" w:hAnsi="Book Antiqua"/>
              </w:rPr>
              <w:t>PERIOD REALIZACIJE</w:t>
            </w:r>
          </w:p>
        </w:tc>
      </w:tr>
      <w:tr w:rsidR="00503F98" w:rsidRPr="00A742A9" w14:paraId="63BF825D" w14:textId="77777777" w:rsidTr="00222E9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pct"/>
            <w:vAlign w:val="center"/>
          </w:tcPr>
          <w:p w14:paraId="46A9F2F7" w14:textId="77777777" w:rsidR="00503F98" w:rsidRPr="00A742A9" w:rsidRDefault="00503F98" w:rsidP="008727C8">
            <w:pPr>
              <w:jc w:val="center"/>
              <w:rPr>
                <w:rFonts w:ascii="Book Antiqua" w:eastAsia="Calibri" w:hAnsi="Book Antiqua"/>
              </w:rPr>
            </w:pPr>
            <w:r w:rsidRPr="00A742A9">
              <w:rPr>
                <w:rFonts w:ascii="Book Antiqua" w:eastAsia="Calibri" w:hAnsi="Book Antiqua"/>
                <w:caps w:val="0"/>
              </w:rPr>
              <w:t>COSAC sastanak predsjedava</w:t>
            </w:r>
            <w:r>
              <w:rPr>
                <w:rFonts w:ascii="Book Antiqua" w:eastAsia="Calibri" w:hAnsi="Book Antiqua"/>
                <w:caps w:val="0"/>
              </w:rPr>
              <w:t>jućih odborima –predsjedavanje Portugala S</w:t>
            </w:r>
            <w:r w:rsidRPr="00A742A9">
              <w:rPr>
                <w:rFonts w:ascii="Book Antiqua" w:eastAsia="Calibri" w:hAnsi="Book Antiqua"/>
                <w:caps w:val="0"/>
              </w:rPr>
              <w:t>avjetu EU</w:t>
            </w:r>
          </w:p>
        </w:tc>
        <w:tc>
          <w:tcPr>
            <w:tcW w:w="2030" w:type="pct"/>
            <w:vAlign w:val="center"/>
          </w:tcPr>
          <w:p w14:paraId="00DAC4E0" w14:textId="77777777" w:rsidR="00503F98" w:rsidRPr="00A742A9" w:rsidRDefault="00503F98" w:rsidP="008727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Calibri" w:hAnsi="Book Antiqua"/>
              </w:rPr>
            </w:pPr>
            <w:r w:rsidRPr="00A742A9">
              <w:rPr>
                <w:rFonts w:ascii="Book Antiqua" w:eastAsia="Calibri" w:hAnsi="Book Antiqua"/>
              </w:rPr>
              <w:t>I kvartal</w:t>
            </w:r>
          </w:p>
        </w:tc>
      </w:tr>
      <w:tr w:rsidR="00503F98" w:rsidRPr="00A742A9" w14:paraId="0265009C" w14:textId="77777777" w:rsidTr="00222E93">
        <w:tblPrEx>
          <w:jc w:val="left"/>
        </w:tblPrEx>
        <w:trPr>
          <w:trHeight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pct"/>
            <w:vAlign w:val="center"/>
          </w:tcPr>
          <w:p w14:paraId="4365CFCF" w14:textId="77777777" w:rsidR="00503F98" w:rsidRPr="00A742A9" w:rsidRDefault="00503F98" w:rsidP="008727C8">
            <w:pPr>
              <w:contextualSpacing/>
              <w:jc w:val="center"/>
              <w:rPr>
                <w:rFonts w:ascii="Book Antiqua" w:eastAsia="Calibri" w:hAnsi="Book Antiqua"/>
              </w:rPr>
            </w:pPr>
            <w:r w:rsidRPr="00A742A9">
              <w:rPr>
                <w:rFonts w:ascii="Book Antiqua" w:eastAsia="Calibri" w:hAnsi="Book Antiqua"/>
                <w:caps w:val="0"/>
              </w:rPr>
              <w:t xml:space="preserve">65. </w:t>
            </w:r>
            <w:r>
              <w:rPr>
                <w:rFonts w:ascii="Book Antiqua" w:eastAsia="Calibri" w:hAnsi="Book Antiqua"/>
                <w:caps w:val="0"/>
              </w:rPr>
              <w:t>COSAC</w:t>
            </w:r>
            <w:r w:rsidRPr="00A742A9">
              <w:rPr>
                <w:rFonts w:ascii="Book Antiqua" w:eastAsia="Calibri" w:hAnsi="Book Antiqua"/>
                <w:caps w:val="0"/>
              </w:rPr>
              <w:t xml:space="preserve"> </w:t>
            </w:r>
            <w:r>
              <w:rPr>
                <w:rFonts w:ascii="Book Antiqua" w:eastAsia="Calibri" w:hAnsi="Book Antiqua"/>
                <w:caps w:val="0"/>
              </w:rPr>
              <w:t xml:space="preserve">konferencija – </w:t>
            </w:r>
            <w:r w:rsidRPr="00A742A9">
              <w:rPr>
                <w:rFonts w:ascii="Book Antiqua" w:eastAsia="Calibri" w:hAnsi="Book Antiqua"/>
                <w:caps w:val="0"/>
              </w:rPr>
              <w:t xml:space="preserve">predsjedavanje </w:t>
            </w:r>
            <w:r>
              <w:rPr>
                <w:rFonts w:ascii="Book Antiqua" w:eastAsia="Calibri" w:hAnsi="Book Antiqua"/>
                <w:caps w:val="0"/>
              </w:rPr>
              <w:t>Portugala S</w:t>
            </w:r>
            <w:r w:rsidRPr="00A742A9">
              <w:rPr>
                <w:rFonts w:ascii="Book Antiqua" w:eastAsia="Calibri" w:hAnsi="Book Antiqua"/>
                <w:caps w:val="0"/>
              </w:rPr>
              <w:t xml:space="preserve">avjetu </w:t>
            </w:r>
            <w:r>
              <w:rPr>
                <w:rFonts w:ascii="Book Antiqua" w:eastAsia="Calibri" w:hAnsi="Book Antiqua"/>
                <w:caps w:val="0"/>
              </w:rPr>
              <w:t>EU</w:t>
            </w:r>
          </w:p>
        </w:tc>
        <w:tc>
          <w:tcPr>
            <w:tcW w:w="2030" w:type="pct"/>
            <w:vAlign w:val="center"/>
          </w:tcPr>
          <w:p w14:paraId="33E20EF8" w14:textId="77777777" w:rsidR="00503F98" w:rsidRPr="00A742A9" w:rsidRDefault="00503F98" w:rsidP="008727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Calibri" w:hAnsi="Book Antiqua"/>
              </w:rPr>
            </w:pPr>
            <w:r w:rsidRPr="00A742A9">
              <w:rPr>
                <w:rFonts w:ascii="Book Antiqua" w:eastAsia="Calibri" w:hAnsi="Book Antiqua"/>
              </w:rPr>
              <w:t>II kvartal</w:t>
            </w:r>
          </w:p>
        </w:tc>
      </w:tr>
      <w:tr w:rsidR="00222E93" w:rsidRPr="00A742A9" w14:paraId="021A3BC8" w14:textId="77777777" w:rsidTr="00FD21D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pct"/>
            <w:vAlign w:val="center"/>
          </w:tcPr>
          <w:p w14:paraId="01B1FB4B" w14:textId="77777777" w:rsidR="00222E93" w:rsidRPr="00A742A9" w:rsidRDefault="00222E93" w:rsidP="00FD21D2">
            <w:pPr>
              <w:spacing w:after="120"/>
              <w:jc w:val="center"/>
              <w:rPr>
                <w:rFonts w:ascii="Book Antiqua" w:eastAsia="Calibri" w:hAnsi="Book Antiqua"/>
                <w:strike/>
              </w:rPr>
            </w:pPr>
            <w:r w:rsidRPr="00A742A9">
              <w:rPr>
                <w:rFonts w:ascii="Book Antiqua" w:eastAsia="Calibri" w:hAnsi="Book Antiqua"/>
                <w:caps w:val="0"/>
              </w:rPr>
              <w:t xml:space="preserve">17. COSAP sastanak – predsjedavanje </w:t>
            </w:r>
            <w:r>
              <w:rPr>
                <w:rFonts w:ascii="Book Antiqua" w:eastAsia="Calibri" w:hAnsi="Book Antiqua"/>
                <w:caps w:val="0"/>
              </w:rPr>
              <w:t>B</w:t>
            </w:r>
            <w:r w:rsidRPr="00A742A9">
              <w:rPr>
                <w:rFonts w:ascii="Book Antiqua" w:eastAsia="Calibri" w:hAnsi="Book Antiqua"/>
                <w:caps w:val="0"/>
              </w:rPr>
              <w:t xml:space="preserve">osne i </w:t>
            </w:r>
            <w:r>
              <w:rPr>
                <w:rFonts w:ascii="Book Antiqua" w:eastAsia="Calibri" w:hAnsi="Book Antiqua"/>
                <w:caps w:val="0"/>
              </w:rPr>
              <w:t>H</w:t>
            </w:r>
            <w:r w:rsidRPr="00A742A9">
              <w:rPr>
                <w:rFonts w:ascii="Book Antiqua" w:eastAsia="Calibri" w:hAnsi="Book Antiqua"/>
                <w:caps w:val="0"/>
              </w:rPr>
              <w:t>ercegovine inicijativi</w:t>
            </w:r>
          </w:p>
        </w:tc>
        <w:tc>
          <w:tcPr>
            <w:tcW w:w="2030" w:type="pct"/>
            <w:vAlign w:val="center"/>
          </w:tcPr>
          <w:p w14:paraId="24022A37" w14:textId="77777777" w:rsidR="00222E93" w:rsidRPr="00A742A9" w:rsidRDefault="00222E93" w:rsidP="00FD21D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Calibri" w:hAnsi="Book Antiqua"/>
              </w:rPr>
            </w:pPr>
            <w:r>
              <w:rPr>
                <w:rFonts w:ascii="Book Antiqua" w:eastAsia="Calibri" w:hAnsi="Book Antiqua"/>
              </w:rPr>
              <w:t>II</w:t>
            </w:r>
            <w:r w:rsidRPr="00A742A9">
              <w:rPr>
                <w:rFonts w:ascii="Book Antiqua" w:eastAsia="Calibri" w:hAnsi="Book Antiqua"/>
              </w:rPr>
              <w:t xml:space="preserve"> kvartal</w:t>
            </w:r>
          </w:p>
        </w:tc>
      </w:tr>
      <w:tr w:rsidR="00503F98" w:rsidRPr="00A742A9" w14:paraId="17A4A7BD" w14:textId="77777777" w:rsidTr="008727C8">
        <w:trPr>
          <w:trHeight w:val="10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pct"/>
            <w:vAlign w:val="center"/>
          </w:tcPr>
          <w:p w14:paraId="77D52335" w14:textId="77777777" w:rsidR="00503F98" w:rsidRPr="00A742A9" w:rsidRDefault="00503F98" w:rsidP="008727C8">
            <w:pPr>
              <w:spacing w:after="120"/>
              <w:contextualSpacing/>
              <w:jc w:val="center"/>
              <w:rPr>
                <w:rFonts w:ascii="Book Antiqua" w:eastAsia="Calibri" w:hAnsi="Book Antiqua"/>
              </w:rPr>
            </w:pPr>
            <w:r w:rsidRPr="00A742A9">
              <w:rPr>
                <w:rFonts w:ascii="Book Antiqua" w:eastAsia="Calibri" w:hAnsi="Book Antiqua"/>
                <w:caps w:val="0"/>
              </w:rPr>
              <w:t xml:space="preserve">COSAC sastanak predsjedavajućih odborima –predsjedavanje </w:t>
            </w:r>
            <w:r>
              <w:rPr>
                <w:rFonts w:ascii="Book Antiqua" w:eastAsia="Calibri" w:hAnsi="Book Antiqua"/>
                <w:caps w:val="0"/>
              </w:rPr>
              <w:t>S</w:t>
            </w:r>
            <w:r w:rsidRPr="00A742A9">
              <w:rPr>
                <w:rFonts w:ascii="Book Antiqua" w:eastAsia="Calibri" w:hAnsi="Book Antiqua"/>
                <w:caps w:val="0"/>
              </w:rPr>
              <w:t xml:space="preserve">lovenije </w:t>
            </w:r>
            <w:r>
              <w:rPr>
                <w:rFonts w:ascii="Book Antiqua" w:eastAsia="Calibri" w:hAnsi="Book Antiqua"/>
                <w:caps w:val="0"/>
              </w:rPr>
              <w:t>S</w:t>
            </w:r>
            <w:r w:rsidRPr="00A742A9">
              <w:rPr>
                <w:rFonts w:ascii="Book Antiqua" w:eastAsia="Calibri" w:hAnsi="Book Antiqua"/>
                <w:caps w:val="0"/>
              </w:rPr>
              <w:t xml:space="preserve">avjetu </w:t>
            </w:r>
            <w:r>
              <w:rPr>
                <w:rFonts w:ascii="Book Antiqua" w:eastAsia="Calibri" w:hAnsi="Book Antiqua"/>
                <w:caps w:val="0"/>
              </w:rPr>
              <w:t>EU</w:t>
            </w:r>
          </w:p>
        </w:tc>
        <w:tc>
          <w:tcPr>
            <w:tcW w:w="2030" w:type="pct"/>
            <w:vAlign w:val="center"/>
          </w:tcPr>
          <w:p w14:paraId="46B48D7C" w14:textId="77777777" w:rsidR="00503F98" w:rsidRPr="00A742A9" w:rsidRDefault="00503F98" w:rsidP="008727C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Calibri" w:hAnsi="Book Antiqua"/>
              </w:rPr>
            </w:pPr>
            <w:r w:rsidRPr="00A742A9">
              <w:rPr>
                <w:rFonts w:ascii="Book Antiqua" w:eastAsia="Calibri" w:hAnsi="Book Antiqua"/>
              </w:rPr>
              <w:t>III kvartal</w:t>
            </w:r>
          </w:p>
        </w:tc>
      </w:tr>
      <w:tr w:rsidR="00503F98" w:rsidRPr="00A742A9" w14:paraId="6D0E3AA0" w14:textId="77777777" w:rsidTr="008727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pct"/>
            <w:vAlign w:val="center"/>
          </w:tcPr>
          <w:p w14:paraId="22C3C166" w14:textId="77777777" w:rsidR="00503F98" w:rsidRPr="00A742A9" w:rsidRDefault="00503F98" w:rsidP="008727C8">
            <w:pPr>
              <w:contextualSpacing/>
              <w:jc w:val="center"/>
              <w:rPr>
                <w:rFonts w:ascii="Book Antiqua" w:eastAsia="Calibri" w:hAnsi="Book Antiqua"/>
                <w:strike/>
              </w:rPr>
            </w:pPr>
            <w:r w:rsidRPr="00A742A9">
              <w:rPr>
                <w:rFonts w:ascii="Book Antiqua" w:eastAsia="Calibri" w:hAnsi="Book Antiqua"/>
                <w:caps w:val="0"/>
              </w:rPr>
              <w:t xml:space="preserve">18. COSAP </w:t>
            </w:r>
            <w:r>
              <w:rPr>
                <w:rFonts w:ascii="Book Antiqua" w:eastAsia="Calibri" w:hAnsi="Book Antiqua"/>
                <w:caps w:val="0"/>
              </w:rPr>
              <w:t>sastanak – predsjedavanje M</w:t>
            </w:r>
            <w:r w:rsidRPr="00A742A9">
              <w:rPr>
                <w:rFonts w:ascii="Book Antiqua" w:eastAsia="Calibri" w:hAnsi="Book Antiqua"/>
                <w:caps w:val="0"/>
              </w:rPr>
              <w:t>akedonije inicijativi</w:t>
            </w:r>
          </w:p>
        </w:tc>
        <w:tc>
          <w:tcPr>
            <w:tcW w:w="2030" w:type="pct"/>
            <w:vAlign w:val="center"/>
          </w:tcPr>
          <w:p w14:paraId="4ADF2153" w14:textId="77777777" w:rsidR="00503F98" w:rsidRPr="00A742A9" w:rsidRDefault="00503F98" w:rsidP="008727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="Calibri" w:hAnsi="Book Antiqua"/>
              </w:rPr>
            </w:pPr>
            <w:r w:rsidRPr="00A742A9">
              <w:rPr>
                <w:rFonts w:ascii="Book Antiqua" w:eastAsia="Calibri" w:hAnsi="Book Antiqua"/>
              </w:rPr>
              <w:t>III</w:t>
            </w:r>
            <w:r>
              <w:rPr>
                <w:rFonts w:ascii="Book Antiqua" w:eastAsia="Calibri" w:hAnsi="Book Antiqua"/>
              </w:rPr>
              <w:t>/IV</w:t>
            </w:r>
            <w:r w:rsidRPr="00A742A9">
              <w:rPr>
                <w:rFonts w:ascii="Book Antiqua" w:eastAsia="Calibri" w:hAnsi="Book Antiqua"/>
              </w:rPr>
              <w:t xml:space="preserve"> kvartal</w:t>
            </w:r>
          </w:p>
        </w:tc>
      </w:tr>
      <w:tr w:rsidR="00503F98" w:rsidRPr="00A742A9" w14:paraId="6A183CF9" w14:textId="77777777" w:rsidTr="008727C8">
        <w:trPr>
          <w:trHeight w:val="7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0" w:type="pct"/>
            <w:vAlign w:val="center"/>
          </w:tcPr>
          <w:p w14:paraId="55EC0548" w14:textId="77777777" w:rsidR="00503F98" w:rsidRPr="00A742A9" w:rsidRDefault="00503F98" w:rsidP="008727C8">
            <w:pPr>
              <w:spacing w:after="120"/>
              <w:jc w:val="center"/>
              <w:rPr>
                <w:rFonts w:ascii="Book Antiqua" w:eastAsia="Calibri" w:hAnsi="Book Antiqua"/>
              </w:rPr>
            </w:pPr>
            <w:r w:rsidRPr="00A742A9">
              <w:rPr>
                <w:rFonts w:ascii="Book Antiqua" w:eastAsia="Calibri" w:hAnsi="Book Antiqua"/>
              </w:rPr>
              <w:t xml:space="preserve">66. COSAC </w:t>
            </w:r>
            <w:r w:rsidRPr="00A742A9">
              <w:rPr>
                <w:rFonts w:ascii="Book Antiqua" w:eastAsia="Calibri" w:hAnsi="Book Antiqua"/>
                <w:caps w:val="0"/>
              </w:rPr>
              <w:t>konferencija –</w:t>
            </w:r>
            <w:r>
              <w:rPr>
                <w:rFonts w:ascii="Book Antiqua" w:eastAsia="Calibri" w:hAnsi="Book Antiqua"/>
                <w:caps w:val="0"/>
              </w:rPr>
              <w:t xml:space="preserve"> </w:t>
            </w:r>
            <w:r w:rsidRPr="00A742A9">
              <w:rPr>
                <w:rFonts w:ascii="Book Antiqua" w:eastAsia="Calibri" w:hAnsi="Book Antiqua"/>
                <w:caps w:val="0"/>
              </w:rPr>
              <w:t xml:space="preserve">predsjedavanje Slovenije Savjetu </w:t>
            </w:r>
            <w:r w:rsidRPr="00A742A9">
              <w:rPr>
                <w:rFonts w:ascii="Book Antiqua" w:eastAsia="Calibri" w:hAnsi="Book Antiqua"/>
              </w:rPr>
              <w:t>EU</w:t>
            </w:r>
          </w:p>
        </w:tc>
        <w:tc>
          <w:tcPr>
            <w:tcW w:w="2030" w:type="pct"/>
            <w:vAlign w:val="center"/>
          </w:tcPr>
          <w:p w14:paraId="5A93906B" w14:textId="77777777" w:rsidR="00503F98" w:rsidRPr="00A742A9" w:rsidRDefault="00503F98" w:rsidP="008727C8">
            <w:pPr>
              <w:spacing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eastAsia="Calibri" w:hAnsi="Book Antiqua"/>
              </w:rPr>
            </w:pPr>
            <w:r w:rsidRPr="00A742A9">
              <w:rPr>
                <w:rFonts w:ascii="Book Antiqua" w:eastAsia="Calibri" w:hAnsi="Book Antiqua"/>
              </w:rPr>
              <w:t>IV kvartal</w:t>
            </w:r>
          </w:p>
        </w:tc>
      </w:tr>
    </w:tbl>
    <w:p w14:paraId="2A2B5DB7" w14:textId="2D765E9A" w:rsidR="00F26AFB" w:rsidRDefault="00222E93" w:rsidP="00F26AFB">
      <w:pPr>
        <w:spacing w:before="240" w:after="160"/>
        <w:jc w:val="both"/>
        <w:rPr>
          <w:rFonts w:ascii="Book Antiqua" w:hAnsi="Book Antiqua"/>
        </w:rPr>
      </w:pPr>
      <w:r>
        <w:rPr>
          <w:rFonts w:ascii="Book Antiqua" w:hAnsi="Book Antiqua"/>
          <w:b/>
          <w:color w:val="C00000"/>
          <w:spacing w:val="-6"/>
          <w:sz w:val="36"/>
          <w:szCs w:val="36"/>
        </w:rPr>
        <w:br/>
      </w:r>
      <w:r w:rsidR="00ED2A1F">
        <w:rPr>
          <w:rFonts w:ascii="Book Antiqua" w:hAnsi="Book Antiqua"/>
        </w:rPr>
        <w:t xml:space="preserve">Na polju bilateralne saradnje, </w:t>
      </w:r>
      <w:r>
        <w:rPr>
          <w:rFonts w:ascii="Book Antiqua" w:hAnsi="Book Antiqua"/>
        </w:rPr>
        <w:t xml:space="preserve">Odbor za evropske integracije će </w:t>
      </w:r>
      <w:r w:rsidR="00ED2A1F">
        <w:rPr>
          <w:rFonts w:ascii="Book Antiqua" w:hAnsi="Book Antiqua"/>
        </w:rPr>
        <w:t>pažnju usmjeriti na parlamente zemalja regiona</w:t>
      </w:r>
      <w:r w:rsidR="003966F2">
        <w:rPr>
          <w:rFonts w:ascii="Book Antiqua" w:hAnsi="Book Antiqua"/>
        </w:rPr>
        <w:t xml:space="preserve"> i</w:t>
      </w:r>
      <w:r w:rsidR="00ED2A1F">
        <w:rPr>
          <w:rFonts w:ascii="Book Antiqua" w:hAnsi="Book Antiqua"/>
        </w:rPr>
        <w:t xml:space="preserve"> parlamente zemalja članica EU, posebno predsjedavajućih Savjetu EU.</w:t>
      </w:r>
      <w:r w:rsidR="003966F2">
        <w:rPr>
          <w:rFonts w:ascii="Book Antiqua" w:hAnsi="Book Antiqua"/>
        </w:rPr>
        <w:t xml:space="preserve"> Odbor će intenzivirati saradnju i sa Misijom Crne Gore pri Evropskoj uniji i institucijama EU, posebno Evropskim parlamentom.</w:t>
      </w:r>
    </w:p>
    <w:p w14:paraId="6FE3F96E" w14:textId="77777777" w:rsidR="00F26AFB" w:rsidRDefault="00F26AFB" w:rsidP="004C5506">
      <w:pPr>
        <w:jc w:val="both"/>
        <w:rPr>
          <w:rFonts w:ascii="Book Antiqua" w:hAnsi="Book Antiqua"/>
          <w:b/>
          <w:color w:val="C00000"/>
          <w:spacing w:val="-6"/>
          <w:sz w:val="36"/>
          <w:szCs w:val="36"/>
        </w:rPr>
      </w:pPr>
      <w:bookmarkStart w:id="0" w:name="_GoBack"/>
      <w:bookmarkEnd w:id="0"/>
    </w:p>
    <w:p w14:paraId="71A71224" w14:textId="77777777" w:rsidR="00FB7F17" w:rsidRDefault="00FB7F17" w:rsidP="004C5506">
      <w:pPr>
        <w:jc w:val="both"/>
        <w:rPr>
          <w:rFonts w:ascii="Book Antiqua" w:hAnsi="Book Antiqua"/>
          <w:b/>
          <w:color w:val="C00000"/>
          <w:spacing w:val="-6"/>
          <w:sz w:val="36"/>
          <w:szCs w:val="36"/>
        </w:rPr>
      </w:pPr>
    </w:p>
    <w:p w14:paraId="6A150555" w14:textId="77777777" w:rsidR="00ED2A1F" w:rsidRDefault="00ED2A1F" w:rsidP="004C5506">
      <w:pPr>
        <w:jc w:val="both"/>
        <w:rPr>
          <w:rFonts w:ascii="Book Antiqua" w:hAnsi="Book Antiqua"/>
          <w:b/>
          <w:color w:val="C00000"/>
          <w:spacing w:val="-6"/>
          <w:sz w:val="36"/>
          <w:szCs w:val="36"/>
        </w:rPr>
      </w:pPr>
    </w:p>
    <w:p w14:paraId="437A7B93" w14:textId="77777777" w:rsidR="00ED2A1F" w:rsidRDefault="00ED2A1F" w:rsidP="004C5506">
      <w:pPr>
        <w:jc w:val="both"/>
        <w:rPr>
          <w:rFonts w:ascii="Book Antiqua" w:hAnsi="Book Antiqua"/>
          <w:b/>
          <w:color w:val="C00000"/>
          <w:spacing w:val="-6"/>
          <w:sz w:val="36"/>
          <w:szCs w:val="36"/>
        </w:rPr>
      </w:pPr>
    </w:p>
    <w:p w14:paraId="4CE38D3E" w14:textId="77777777" w:rsidR="00ED2A1F" w:rsidRDefault="00ED2A1F" w:rsidP="004C5506">
      <w:pPr>
        <w:jc w:val="both"/>
        <w:rPr>
          <w:rFonts w:ascii="Book Antiqua" w:hAnsi="Book Antiqua"/>
          <w:b/>
          <w:color w:val="C00000"/>
          <w:spacing w:val="-6"/>
          <w:sz w:val="36"/>
          <w:szCs w:val="36"/>
        </w:rPr>
      </w:pPr>
    </w:p>
    <w:p w14:paraId="50AE715E" w14:textId="77777777" w:rsidR="00ED2A1F" w:rsidRDefault="00ED2A1F" w:rsidP="004C5506">
      <w:pPr>
        <w:jc w:val="both"/>
        <w:rPr>
          <w:rFonts w:ascii="Book Antiqua" w:hAnsi="Book Antiqua"/>
          <w:b/>
          <w:color w:val="C00000"/>
          <w:spacing w:val="-6"/>
          <w:sz w:val="36"/>
          <w:szCs w:val="36"/>
        </w:rPr>
      </w:pPr>
    </w:p>
    <w:p w14:paraId="4F4007ED" w14:textId="77777777" w:rsidR="00ED2A1F" w:rsidRDefault="00ED2A1F" w:rsidP="004C5506">
      <w:pPr>
        <w:jc w:val="both"/>
        <w:rPr>
          <w:rFonts w:ascii="Book Antiqua" w:hAnsi="Book Antiqua"/>
          <w:b/>
          <w:color w:val="C00000"/>
          <w:spacing w:val="-6"/>
          <w:sz w:val="36"/>
          <w:szCs w:val="36"/>
        </w:rPr>
      </w:pPr>
    </w:p>
    <w:p w14:paraId="023E1444" w14:textId="78A3F65E" w:rsidR="004C5506" w:rsidRPr="00367F02" w:rsidRDefault="00ED2A1F" w:rsidP="004C5506">
      <w:pPr>
        <w:jc w:val="both"/>
        <w:rPr>
          <w:rFonts w:ascii="Book Antiqua" w:hAnsi="Book Antiqua"/>
          <w:sz w:val="34"/>
          <w:szCs w:val="34"/>
        </w:rPr>
      </w:pPr>
      <w:r>
        <w:rPr>
          <w:rFonts w:ascii="Book Antiqua" w:hAnsi="Book Antiqua"/>
          <w:b/>
          <w:color w:val="C00000"/>
          <w:spacing w:val="-6"/>
          <w:sz w:val="36"/>
          <w:szCs w:val="36"/>
        </w:rPr>
        <w:lastRenderedPageBreak/>
        <w:br/>
      </w:r>
      <w:r w:rsidR="00AA2217" w:rsidRPr="00367F02">
        <w:rPr>
          <w:rFonts w:ascii="Book Antiqua" w:hAnsi="Book Antiqua"/>
          <w:b/>
          <w:color w:val="C00000"/>
          <w:spacing w:val="-6"/>
          <w:sz w:val="34"/>
          <w:szCs w:val="34"/>
        </w:rPr>
        <w:t>I</w:t>
      </w:r>
      <w:r w:rsidR="00786D8F" w:rsidRPr="00367F02">
        <w:rPr>
          <w:rFonts w:ascii="Book Antiqua" w:hAnsi="Book Antiqua"/>
          <w:b/>
          <w:color w:val="C00000"/>
          <w:spacing w:val="-6"/>
          <w:sz w:val="34"/>
          <w:szCs w:val="34"/>
        </w:rPr>
        <w:t xml:space="preserve">V </w:t>
      </w:r>
      <w:r w:rsidR="004C5506" w:rsidRPr="00367F02">
        <w:rPr>
          <w:rFonts w:ascii="Book Antiqua" w:hAnsi="Book Antiqua"/>
          <w:b/>
          <w:color w:val="C00000"/>
          <w:spacing w:val="-6"/>
          <w:sz w:val="34"/>
          <w:szCs w:val="34"/>
        </w:rPr>
        <w:t>Promocija procesa evropskih integracija u crnogorskoj</w:t>
      </w:r>
      <w:r w:rsidR="004C5506" w:rsidRPr="00367F02">
        <w:rPr>
          <w:rFonts w:ascii="Book Antiqua" w:hAnsi="Book Antiqua"/>
          <w:b/>
          <w:color w:val="C00000"/>
          <w:sz w:val="34"/>
          <w:szCs w:val="34"/>
        </w:rPr>
        <w:t xml:space="preserve"> javnosti</w:t>
      </w:r>
    </w:p>
    <w:p w14:paraId="47D00566" w14:textId="126BE848" w:rsidR="00FB7F17" w:rsidRDefault="000B5D72" w:rsidP="003A2A10">
      <w:pPr>
        <w:spacing w:before="240" w:after="16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Kvalitet procesa evropskih integracija zavisi </w:t>
      </w:r>
      <w:r w:rsidR="00E42CB1">
        <w:rPr>
          <w:rFonts w:ascii="Book Antiqua" w:hAnsi="Book Antiqua"/>
        </w:rPr>
        <w:t xml:space="preserve">od stepena inkluzivnosti građana i vidljivosti djelovanja ne samo pregovaračke strukture, već svih učesnika procesa pristupanja – državnih organa, civilnog sektora, ali i samih građana, koji predstvaljaju ključne nosioce koristi od članstva u EU. </w:t>
      </w:r>
    </w:p>
    <w:p w14:paraId="79612754" w14:textId="77777777" w:rsidR="00E61D3B" w:rsidRPr="006B26BE" w:rsidRDefault="00367F02" w:rsidP="00FB7F17">
      <w:pPr>
        <w:spacing w:before="160" w:after="160"/>
        <w:jc w:val="both"/>
        <w:rPr>
          <w:rFonts w:ascii="Book Antiqua" w:hAnsi="Book Antiqua"/>
        </w:rPr>
      </w:pPr>
      <w:r w:rsidRPr="007C21F6">
        <w:rPr>
          <w:rFonts w:ascii="Book Antiqua" w:hAnsi="Book Antiqua"/>
        </w:rPr>
        <w:t xml:space="preserve">Odbor za evropske integracije i tokom 2021. godine planira sprovođenje aktivnosti u cilju aktivne komunikacije sa građanima i podizanja svijesti o procesu pristupanja </w:t>
      </w:r>
      <w:r w:rsidRPr="006B26BE">
        <w:rPr>
          <w:rFonts w:ascii="Book Antiqua" w:hAnsi="Book Antiqua"/>
        </w:rPr>
        <w:t xml:space="preserve">Crne Gore EU i o obavezama koje proizilaze iz članstva u EU. </w:t>
      </w:r>
      <w:r w:rsidR="00E61D3B" w:rsidRPr="006B26BE">
        <w:rPr>
          <w:rFonts w:ascii="Book Antiqua" w:hAnsi="Book Antiqua"/>
        </w:rPr>
        <w:t>Povratno,</w:t>
      </w:r>
      <w:r w:rsidRPr="006B26BE">
        <w:rPr>
          <w:rFonts w:ascii="Book Antiqua" w:hAnsi="Book Antiqua"/>
        </w:rPr>
        <w:t xml:space="preserve"> Odbor </w:t>
      </w:r>
      <w:r w:rsidR="00E61D3B" w:rsidRPr="006B26BE">
        <w:rPr>
          <w:rFonts w:ascii="Book Antiqua" w:hAnsi="Book Antiqua"/>
        </w:rPr>
        <w:t>će dobijati informacije o ključnim izazovima koje je potrebno prevazići u različitim oblastima, te usklađivati</w:t>
      </w:r>
      <w:r w:rsidRPr="006B26BE">
        <w:rPr>
          <w:rFonts w:ascii="Book Antiqua" w:hAnsi="Book Antiqua"/>
        </w:rPr>
        <w:t xml:space="preserve"> svoje djelovanje sa potrebama i interesima građana.</w:t>
      </w:r>
    </w:p>
    <w:p w14:paraId="60C12D06" w14:textId="6BBC6E6F" w:rsidR="00367F02" w:rsidRPr="006B26BE" w:rsidRDefault="00E61D3B" w:rsidP="00E61D3B">
      <w:pPr>
        <w:spacing w:before="0" w:after="160" w:line="259" w:lineRule="auto"/>
        <w:jc w:val="both"/>
        <w:rPr>
          <w:rFonts w:ascii="Book Antiqua" w:hAnsi="Book Antiqua"/>
          <w:noProof/>
          <w:szCs w:val="20"/>
        </w:rPr>
      </w:pPr>
      <w:r w:rsidRPr="006B26BE">
        <w:rPr>
          <w:rFonts w:ascii="Book Antiqua" w:hAnsi="Book Antiqua"/>
          <w:noProof/>
          <w:szCs w:val="20"/>
        </w:rPr>
        <w:t xml:space="preserve">Predlog konkretnih aktivnosti i način njihovog sprovođenja biće definisani u zavisnosti od epidemiološke situacije u Crnoj Gori, a vrste realizovanih aktivnosti mogu uključivati: </w:t>
      </w:r>
    </w:p>
    <w:p w14:paraId="6DE936D6" w14:textId="6CCE5035" w:rsidR="00367F02" w:rsidRPr="006B26BE" w:rsidRDefault="00E61D3B" w:rsidP="00CE5F9A">
      <w:pPr>
        <w:pStyle w:val="ListParagraph"/>
        <w:numPr>
          <w:ilvl w:val="0"/>
          <w:numId w:val="11"/>
        </w:numPr>
        <w:spacing w:before="160" w:after="160"/>
        <w:ind w:left="714" w:hanging="357"/>
        <w:contextualSpacing w:val="0"/>
        <w:jc w:val="both"/>
        <w:rPr>
          <w:rFonts w:ascii="Book Antiqua" w:hAnsi="Book Antiqua"/>
        </w:rPr>
      </w:pPr>
      <w:r w:rsidRPr="006B26BE">
        <w:rPr>
          <w:rFonts w:ascii="Book Antiqua" w:hAnsi="Book Antiqua"/>
        </w:rPr>
        <w:t>organizaciju događaja</w:t>
      </w:r>
      <w:r w:rsidR="00367F02" w:rsidRPr="006B26BE">
        <w:rPr>
          <w:rFonts w:ascii="Book Antiqua" w:hAnsi="Book Antiqua"/>
        </w:rPr>
        <w:t xml:space="preserve"> posvećen</w:t>
      </w:r>
      <w:r w:rsidRPr="006B26BE">
        <w:rPr>
          <w:rFonts w:ascii="Book Antiqua" w:hAnsi="Book Antiqua"/>
        </w:rPr>
        <w:t>ih</w:t>
      </w:r>
      <w:r w:rsidR="00367F02" w:rsidRPr="006B26BE">
        <w:rPr>
          <w:rFonts w:ascii="Book Antiqua" w:hAnsi="Book Antiqua"/>
        </w:rPr>
        <w:t xml:space="preserve"> konkretnim pregovaračkim poglavljima, u cilju razmatranja ključnih pitanja za ispunjavanje kriterijuma z</w:t>
      </w:r>
      <w:r w:rsidRPr="006B26BE">
        <w:rPr>
          <w:rFonts w:ascii="Book Antiqua" w:hAnsi="Book Antiqua"/>
        </w:rPr>
        <w:t xml:space="preserve">a skorije zatvaranje poglavlja (javne debate); </w:t>
      </w:r>
    </w:p>
    <w:p w14:paraId="3E9482BA" w14:textId="77777777" w:rsidR="00CE5F9A" w:rsidRPr="006B26BE" w:rsidRDefault="00E61D3B" w:rsidP="00CE5F9A">
      <w:pPr>
        <w:pStyle w:val="ListParagraph"/>
        <w:numPr>
          <w:ilvl w:val="0"/>
          <w:numId w:val="11"/>
        </w:numPr>
        <w:spacing w:before="160" w:after="160"/>
        <w:ind w:left="714" w:hanging="357"/>
        <w:contextualSpacing w:val="0"/>
        <w:jc w:val="both"/>
        <w:rPr>
          <w:rFonts w:ascii="Book Antiqua" w:hAnsi="Book Antiqua"/>
        </w:rPr>
      </w:pPr>
      <w:r w:rsidRPr="006B26BE">
        <w:rPr>
          <w:rFonts w:ascii="Book Antiqua" w:hAnsi="Book Antiqua"/>
        </w:rPr>
        <w:t xml:space="preserve">aktivnosti koje su usmjerene na promociju evropskih ideja i vrijednosti mladih, koji </w:t>
      </w:r>
      <w:r w:rsidR="00367F02" w:rsidRPr="006B26BE">
        <w:rPr>
          <w:rFonts w:ascii="Book Antiqua" w:hAnsi="Book Antiqua"/>
        </w:rPr>
        <w:t>ostaju važna ciljna grupa Odbora za dodatnu edukaciju i uključivanje u proces evropskih integracija</w:t>
      </w:r>
      <w:r w:rsidRPr="006B26BE">
        <w:rPr>
          <w:rFonts w:ascii="Book Antiqua" w:hAnsi="Book Antiqua"/>
        </w:rPr>
        <w:t xml:space="preserve"> (</w:t>
      </w:r>
      <w:r w:rsidR="00367F02" w:rsidRPr="006B26BE">
        <w:rPr>
          <w:rFonts w:ascii="Book Antiqua" w:hAnsi="Book Antiqua"/>
        </w:rPr>
        <w:t>posjet</w:t>
      </w:r>
      <w:r w:rsidR="00CE5F9A" w:rsidRPr="006B26BE">
        <w:rPr>
          <w:rFonts w:ascii="Book Antiqua" w:hAnsi="Book Antiqua"/>
        </w:rPr>
        <w:t>e</w:t>
      </w:r>
      <w:r w:rsidR="00367F02" w:rsidRPr="006B26BE">
        <w:rPr>
          <w:rFonts w:ascii="Book Antiqua" w:hAnsi="Book Antiqua"/>
        </w:rPr>
        <w:t xml:space="preserve"> srednjoškolcima i tribine poslanika sa studentima na relevantne teme iz procesa pristupanja</w:t>
      </w:r>
      <w:r w:rsidR="00CE5F9A" w:rsidRPr="006B26BE">
        <w:rPr>
          <w:rFonts w:ascii="Book Antiqua" w:hAnsi="Book Antiqua"/>
        </w:rPr>
        <w:t xml:space="preserve">); </w:t>
      </w:r>
    </w:p>
    <w:p w14:paraId="23F6E755" w14:textId="77777777" w:rsidR="00CE5F9A" w:rsidRPr="006B26BE" w:rsidRDefault="00CE5F9A" w:rsidP="00CE5F9A">
      <w:pPr>
        <w:pStyle w:val="ListParagraph"/>
        <w:numPr>
          <w:ilvl w:val="0"/>
          <w:numId w:val="11"/>
        </w:numPr>
        <w:spacing w:before="160" w:after="160"/>
        <w:ind w:left="714" w:hanging="357"/>
        <w:contextualSpacing w:val="0"/>
        <w:jc w:val="both"/>
        <w:rPr>
          <w:rFonts w:ascii="Book Antiqua" w:hAnsi="Book Antiqua"/>
        </w:rPr>
      </w:pPr>
      <w:r w:rsidRPr="006B26BE">
        <w:rPr>
          <w:rFonts w:ascii="Book Antiqua" w:hAnsi="Book Antiqua"/>
        </w:rPr>
        <w:t xml:space="preserve">organizaciju sastanaka sa predstavnicima lokalnih samouprava, na kojima će raspravljati o projektima u ključnim pregovaračkim oblastima, korišćenju sredstava iz Instrumenta pretpristupne podrške EU (IPA), te usklađenosti domaćeg zakonodavstva sa evropskim pravom; </w:t>
      </w:r>
    </w:p>
    <w:p w14:paraId="3381FCBC" w14:textId="77777777" w:rsidR="00CE5F9A" w:rsidRPr="006B26BE" w:rsidRDefault="00CE5F9A" w:rsidP="00630B29">
      <w:pPr>
        <w:pStyle w:val="ListParagraph"/>
        <w:numPr>
          <w:ilvl w:val="0"/>
          <w:numId w:val="11"/>
        </w:numPr>
        <w:spacing w:before="160" w:after="160"/>
        <w:ind w:left="714" w:hanging="357"/>
        <w:contextualSpacing w:val="0"/>
        <w:jc w:val="both"/>
        <w:rPr>
          <w:rFonts w:ascii="Book Antiqua" w:hAnsi="Book Antiqua"/>
        </w:rPr>
      </w:pPr>
      <w:r w:rsidRPr="006B26BE">
        <w:rPr>
          <w:rFonts w:ascii="Book Antiqua" w:hAnsi="Book Antiqua"/>
        </w:rPr>
        <w:t>aktivno učešće predstavnika nevladinog sektora</w:t>
      </w:r>
      <w:r w:rsidR="00367F02" w:rsidRPr="006B26BE">
        <w:rPr>
          <w:rFonts w:ascii="Book Antiqua" w:hAnsi="Book Antiqua"/>
        </w:rPr>
        <w:t xml:space="preserve"> u aktivnostima Odbora </w:t>
      </w:r>
      <w:r w:rsidRPr="006B26BE">
        <w:rPr>
          <w:rFonts w:ascii="Book Antiqua" w:hAnsi="Book Antiqua"/>
        </w:rPr>
        <w:t>i na sjednicama otvorenog tipa, kako bi</w:t>
      </w:r>
      <w:r w:rsidR="00367F02" w:rsidRPr="006B26BE">
        <w:rPr>
          <w:rFonts w:ascii="Book Antiqua" w:hAnsi="Book Antiqua"/>
        </w:rPr>
        <w:t xml:space="preserve"> svojim komentarima i sugestijama doprin</w:t>
      </w:r>
      <w:r w:rsidRPr="006B26BE">
        <w:rPr>
          <w:rFonts w:ascii="Book Antiqua" w:hAnsi="Book Antiqua"/>
        </w:rPr>
        <w:t>ijeli</w:t>
      </w:r>
      <w:r w:rsidR="00367F02" w:rsidRPr="006B26BE">
        <w:rPr>
          <w:rFonts w:ascii="Book Antiqua" w:hAnsi="Book Antiqua"/>
        </w:rPr>
        <w:t xml:space="preserve"> kvalitetu procesa.</w:t>
      </w:r>
      <w:r w:rsidRPr="006B26BE">
        <w:rPr>
          <w:rFonts w:ascii="Book Antiqua" w:hAnsi="Book Antiqua"/>
        </w:rPr>
        <w:t xml:space="preserve"> </w:t>
      </w:r>
    </w:p>
    <w:p w14:paraId="1A663DFE" w14:textId="509477CB" w:rsidR="008C0232" w:rsidRPr="006B26BE" w:rsidRDefault="008C0232" w:rsidP="008C0232">
      <w:pPr>
        <w:spacing w:before="160" w:after="160"/>
        <w:jc w:val="both"/>
        <w:rPr>
          <w:rFonts w:ascii="Book Antiqua" w:hAnsi="Book Antiqua"/>
        </w:rPr>
      </w:pPr>
      <w:r w:rsidRPr="006B26BE">
        <w:rPr>
          <w:rFonts w:ascii="Book Antiqua" w:hAnsi="Book Antiqua"/>
        </w:rPr>
        <w:t xml:space="preserve">Odbor će nastaviti aktivno da učestvuje u sprovođenju Strategije informisanja javnosti o procesu pristupanja Crne Gore EU 2019-2022. </w:t>
      </w:r>
    </w:p>
    <w:p w14:paraId="10610FA9" w14:textId="1CC98D91" w:rsidR="008856A4" w:rsidRPr="00CE5F9A" w:rsidRDefault="001E4628" w:rsidP="00CE5F9A">
      <w:pPr>
        <w:spacing w:before="160" w:after="160"/>
        <w:jc w:val="both"/>
        <w:rPr>
          <w:rFonts w:ascii="Book Antiqua" w:hAnsi="Book Antiqua"/>
        </w:rPr>
      </w:pPr>
      <w:r w:rsidRPr="006B26BE">
        <w:rPr>
          <w:rFonts w:ascii="Book Antiqua" w:hAnsi="Book Antiqua"/>
        </w:rPr>
        <w:t xml:space="preserve">Svoju vidjivost, Odbor će održavati i kroz </w:t>
      </w:r>
      <w:r w:rsidR="00FA386C" w:rsidRPr="006B26BE">
        <w:rPr>
          <w:rFonts w:ascii="Book Antiqua" w:hAnsi="Book Antiqua"/>
        </w:rPr>
        <w:t xml:space="preserve">povećanu aktivnost na </w:t>
      </w:r>
      <w:r w:rsidRPr="006B26BE">
        <w:rPr>
          <w:rFonts w:ascii="Book Antiqua" w:hAnsi="Book Antiqua"/>
        </w:rPr>
        <w:t>društvenim mrežama</w:t>
      </w:r>
      <w:r w:rsidRPr="00CE5F9A">
        <w:rPr>
          <w:rFonts w:ascii="Book Antiqua" w:hAnsi="Book Antiqua"/>
        </w:rPr>
        <w:t xml:space="preserve"> </w:t>
      </w:r>
      <w:r w:rsidR="004C5506" w:rsidRPr="00CE5F9A">
        <w:rPr>
          <w:rFonts w:ascii="Book Antiqua" w:hAnsi="Book Antiqua"/>
        </w:rPr>
        <w:t xml:space="preserve">„Facebook“ (Odbor za evropske integracije Skupštine Crne Gore) i „Twitter“ (@EUOdborCG). </w:t>
      </w:r>
    </w:p>
    <w:p w14:paraId="76A27A77" w14:textId="77777777" w:rsidR="008856A4" w:rsidRDefault="008856A4" w:rsidP="008856A4">
      <w:pPr>
        <w:jc w:val="both"/>
        <w:rPr>
          <w:rFonts w:ascii="Book Antiqua" w:hAnsi="Book Antiqua"/>
          <w:noProof/>
        </w:rPr>
      </w:pPr>
    </w:p>
    <w:p w14:paraId="47A485D7" w14:textId="77777777" w:rsidR="004E1592" w:rsidRDefault="004E1592" w:rsidP="008856A4">
      <w:pPr>
        <w:ind w:firstLine="708"/>
        <w:jc w:val="both"/>
        <w:rPr>
          <w:rFonts w:ascii="Book Antiqua" w:hAnsi="Book Antiqua"/>
          <w:noProof/>
        </w:rPr>
      </w:pPr>
    </w:p>
    <w:p w14:paraId="567A6D87" w14:textId="77777777" w:rsidR="008C0232" w:rsidRDefault="008C0232" w:rsidP="008856A4">
      <w:pPr>
        <w:ind w:firstLine="708"/>
        <w:jc w:val="both"/>
        <w:rPr>
          <w:rFonts w:ascii="Book Antiqua" w:hAnsi="Book Antiqua"/>
          <w:noProof/>
        </w:rPr>
        <w:sectPr w:rsidR="008C0232" w:rsidSect="008C0232">
          <w:headerReference w:type="default" r:id="rId9"/>
          <w:footerReference w:type="default" r:id="rId10"/>
          <w:pgSz w:w="11906" w:h="17338"/>
          <w:pgMar w:top="1418" w:right="1418" w:bottom="1134" w:left="1418" w:header="720" w:footer="720" w:gutter="0"/>
          <w:cols w:space="708"/>
          <w:noEndnote/>
          <w:titlePg/>
          <w:docGrid w:linePitch="326"/>
        </w:sectPr>
      </w:pPr>
    </w:p>
    <w:p w14:paraId="38045136" w14:textId="7C496D4C" w:rsidR="00E47D06" w:rsidRPr="002A2CBF" w:rsidRDefault="00DB726A" w:rsidP="00FB7F17">
      <w:pPr>
        <w:jc w:val="center"/>
        <w:rPr>
          <w:rFonts w:ascii="Book Antiqua" w:hAnsi="Book Antiqua"/>
          <w:noProof/>
        </w:rPr>
      </w:pPr>
      <w:r w:rsidRPr="002A2CBF">
        <w:rPr>
          <w:rFonts w:ascii="Book Antiqua" w:hAnsi="Book Antiqua"/>
          <w:noProof/>
        </w:rPr>
        <w:t>SEKRETARKA ODBORA</w:t>
      </w:r>
    </w:p>
    <w:p w14:paraId="08551B23" w14:textId="177D978C" w:rsidR="004E1592" w:rsidRPr="002A2CBF" w:rsidRDefault="004E1592" w:rsidP="00181635">
      <w:pPr>
        <w:jc w:val="center"/>
        <w:rPr>
          <w:rFonts w:ascii="Book Antiqua" w:hAnsi="Book Antiqua"/>
          <w:noProof/>
        </w:rPr>
      </w:pPr>
      <w:r w:rsidRPr="002A2CBF">
        <w:rPr>
          <w:rFonts w:ascii="Book Antiqua" w:hAnsi="Book Antiqua"/>
          <w:noProof/>
        </w:rPr>
        <w:t>Marija Maraš</w:t>
      </w:r>
    </w:p>
    <w:p w14:paraId="2FAA6C2A" w14:textId="63BA472D" w:rsidR="00E47D06" w:rsidRPr="002A2CBF" w:rsidRDefault="004E1592" w:rsidP="00FB7F17">
      <w:pPr>
        <w:jc w:val="center"/>
        <w:rPr>
          <w:rFonts w:ascii="Book Antiqua" w:hAnsi="Book Antiqua"/>
          <w:noProof/>
        </w:rPr>
      </w:pPr>
      <w:r w:rsidRPr="002A2CBF">
        <w:rPr>
          <w:rFonts w:ascii="Book Antiqua" w:hAnsi="Book Antiqua"/>
          <w:noProof/>
        </w:rPr>
        <w:t>PREDSJEDNIK ODBORA</w:t>
      </w:r>
    </w:p>
    <w:p w14:paraId="7151F12A" w14:textId="3F462B07" w:rsidR="004E1592" w:rsidRDefault="00ED2A1F" w:rsidP="000D5C30">
      <w:pPr>
        <w:jc w:val="center"/>
        <w:rPr>
          <w:rFonts w:ascii="Book Antiqua" w:hAnsi="Book Antiqua"/>
          <w:noProof/>
        </w:rPr>
        <w:sectPr w:rsidR="004E1592" w:rsidSect="00FB7F17">
          <w:type w:val="continuous"/>
          <w:pgSz w:w="11906" w:h="17338"/>
          <w:pgMar w:top="1418" w:right="1418" w:bottom="1418" w:left="1418" w:header="720" w:footer="720" w:gutter="0"/>
          <w:cols w:num="2" w:space="708"/>
          <w:noEndnote/>
          <w:docGrid w:linePitch="326"/>
        </w:sectPr>
      </w:pPr>
      <w:r>
        <w:rPr>
          <w:rFonts w:ascii="Book Antiqua" w:hAnsi="Book Antiqua"/>
          <w:noProof/>
        </w:rPr>
        <w:t>Branimir Gvozdenović</w:t>
      </w:r>
    </w:p>
    <w:p w14:paraId="12559D58" w14:textId="2BA7F698" w:rsidR="004E1592" w:rsidRDefault="004E1592" w:rsidP="000D5C30">
      <w:pPr>
        <w:jc w:val="both"/>
        <w:rPr>
          <w:rFonts w:ascii="Book Antiqua" w:hAnsi="Book Antiqua"/>
          <w:noProof/>
        </w:rPr>
        <w:sectPr w:rsidR="004E1592" w:rsidSect="00ED2A1F">
          <w:type w:val="continuous"/>
          <w:pgSz w:w="11906" w:h="17338"/>
          <w:pgMar w:top="1418" w:right="1418" w:bottom="709" w:left="1418" w:header="720" w:footer="0" w:gutter="0"/>
          <w:cols w:space="708"/>
          <w:noEndnote/>
          <w:docGrid w:linePitch="326"/>
        </w:sectPr>
      </w:pPr>
    </w:p>
    <w:p w14:paraId="79BEE025" w14:textId="6F9DC32E" w:rsidR="004E1592" w:rsidRDefault="004E1592" w:rsidP="00ED2A1F">
      <w:pPr>
        <w:jc w:val="both"/>
        <w:rPr>
          <w:rFonts w:ascii="Book Antiqua" w:hAnsi="Book Antiqua"/>
          <w:noProof/>
        </w:rPr>
      </w:pPr>
    </w:p>
    <w:sectPr w:rsidR="004E1592" w:rsidSect="004E1592">
      <w:type w:val="continuous"/>
      <w:pgSz w:w="11906" w:h="17338"/>
      <w:pgMar w:top="1418" w:right="1418" w:bottom="1418" w:left="1418" w:header="720" w:footer="720" w:gutter="0"/>
      <w:cols w:num="2" w:space="708"/>
      <w:noEndnote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B879142" w16cid:durableId="2427D16B"/>
  <w16cid:commentId w16cid:paraId="30806BA8" w16cid:durableId="2427D1F1"/>
  <w16cid:commentId w16cid:paraId="40975EA6" w16cid:durableId="24268F73"/>
  <w16cid:commentId w16cid:paraId="4CF694A8" w16cid:durableId="24268FC8"/>
  <w16cid:commentId w16cid:paraId="1D12604E" w16cid:durableId="2427D3F5"/>
  <w16cid:commentId w16cid:paraId="5B41AAED" w16cid:durableId="2427D483"/>
  <w16cid:commentId w16cid:paraId="3130FC43" w16cid:durableId="2427D91C"/>
  <w16cid:commentId w16cid:paraId="26FAE6A7" w16cid:durableId="24269831"/>
  <w16cid:commentId w16cid:paraId="721AEBD2" w16cid:durableId="2427E701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842C1F" w14:textId="77777777" w:rsidR="00301A1B" w:rsidRDefault="00301A1B" w:rsidP="00786D8F">
      <w:pPr>
        <w:spacing w:before="0" w:after="0"/>
      </w:pPr>
      <w:r>
        <w:separator/>
      </w:r>
    </w:p>
  </w:endnote>
  <w:endnote w:type="continuationSeparator" w:id="0">
    <w:p w14:paraId="51D9E78E" w14:textId="77777777" w:rsidR="00301A1B" w:rsidRDefault="00301A1B" w:rsidP="00786D8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48768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8B2F920" w14:textId="16EC4D68" w:rsidR="00786D8F" w:rsidRDefault="00786D8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966F2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50C2734" w14:textId="77777777" w:rsidR="00786D8F" w:rsidRDefault="00786D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9F945" w14:textId="77777777" w:rsidR="00301A1B" w:rsidRDefault="00301A1B" w:rsidP="00786D8F">
      <w:pPr>
        <w:spacing w:before="0" w:after="0"/>
      </w:pPr>
      <w:r>
        <w:separator/>
      </w:r>
    </w:p>
  </w:footnote>
  <w:footnote w:type="continuationSeparator" w:id="0">
    <w:p w14:paraId="66B763A9" w14:textId="77777777" w:rsidR="00301A1B" w:rsidRDefault="00301A1B" w:rsidP="00786D8F">
      <w:pPr>
        <w:spacing w:before="0" w:after="0"/>
      </w:pPr>
      <w:r>
        <w:continuationSeparator/>
      </w:r>
    </w:p>
  </w:footnote>
  <w:footnote w:id="1">
    <w:p w14:paraId="1E710712" w14:textId="69014BA6" w:rsidR="00B474F3" w:rsidRPr="00B474F3" w:rsidRDefault="00B474F3" w:rsidP="00B474F3">
      <w:pPr>
        <w:pStyle w:val="FootnoteText"/>
        <w:jc w:val="both"/>
        <w:rPr>
          <w:lang w:val="sr-Latn-C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CS"/>
        </w:rPr>
        <w:t>Zbog činjenice da je Program pristupanja Crne Gore Evropskoj uniji (PPCG) 2021-2023 usvojen u martu 2021. godine, neće biti pripreman izvještaj o realizaciji PPCG za prvi kvartal 2021. godine.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863A4C" w14:textId="2B0D7DB2" w:rsidR="001A7EA0" w:rsidRPr="00572A26" w:rsidRDefault="001A7EA0" w:rsidP="001A7EA0">
    <w:pPr>
      <w:pStyle w:val="Header"/>
      <w:jc w:val="right"/>
      <w:rPr>
        <w:rFonts w:ascii="Book Antiqua" w:hAnsi="Book Antiqua"/>
        <w:i/>
      </w:rPr>
    </w:pPr>
    <w:r w:rsidRPr="00572A26">
      <w:rPr>
        <w:rFonts w:ascii="Book Antiqua" w:hAnsi="Book Antiqua"/>
        <w:i/>
      </w:rPr>
      <w:t>Predlog Sekretarijata Odbora za evropske integracije</w:t>
    </w:r>
  </w:p>
  <w:p w14:paraId="004DB55B" w14:textId="77777777" w:rsidR="001A7EA0" w:rsidRDefault="001A7E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A5C1E"/>
    <w:multiLevelType w:val="hybridMultilevel"/>
    <w:tmpl w:val="72685F0E"/>
    <w:lvl w:ilvl="0" w:tplc="18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94F5D"/>
    <w:multiLevelType w:val="hybridMultilevel"/>
    <w:tmpl w:val="AE9AEA48"/>
    <w:lvl w:ilvl="0" w:tplc="18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63BDA"/>
    <w:multiLevelType w:val="hybridMultilevel"/>
    <w:tmpl w:val="9506860C"/>
    <w:lvl w:ilvl="0" w:tplc="F92A7762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1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865284"/>
    <w:multiLevelType w:val="hybridMultilevel"/>
    <w:tmpl w:val="95264C06"/>
    <w:lvl w:ilvl="0" w:tplc="18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8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5016CA"/>
    <w:multiLevelType w:val="hybridMultilevel"/>
    <w:tmpl w:val="EB48CFF0"/>
    <w:lvl w:ilvl="0" w:tplc="2C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4253EC"/>
    <w:multiLevelType w:val="hybridMultilevel"/>
    <w:tmpl w:val="C652D23C"/>
    <w:lvl w:ilvl="0" w:tplc="F8FEE52E"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854CF"/>
    <w:multiLevelType w:val="hybridMultilevel"/>
    <w:tmpl w:val="450A1CB2"/>
    <w:lvl w:ilvl="0" w:tplc="F69ED4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67699"/>
    <w:multiLevelType w:val="hybridMultilevel"/>
    <w:tmpl w:val="2E1C2E9C"/>
    <w:lvl w:ilvl="0" w:tplc="181A0009">
      <w:start w:val="1"/>
      <w:numFmt w:val="bullet"/>
      <w:lvlText w:val=""/>
      <w:lvlJc w:val="left"/>
      <w:pPr>
        <w:ind w:left="1498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8" w15:restartNumberingAfterBreak="0">
    <w:nsid w:val="62022D03"/>
    <w:multiLevelType w:val="hybridMultilevel"/>
    <w:tmpl w:val="38708BE8"/>
    <w:lvl w:ilvl="0" w:tplc="500C6F16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577AA"/>
    <w:multiLevelType w:val="hybridMultilevel"/>
    <w:tmpl w:val="062E80C6"/>
    <w:lvl w:ilvl="0" w:tplc="181A0009">
      <w:start w:val="1"/>
      <w:numFmt w:val="bullet"/>
      <w:lvlText w:val=""/>
      <w:lvlJc w:val="left"/>
      <w:pPr>
        <w:ind w:left="1636" w:hanging="360"/>
      </w:pPr>
      <w:rPr>
        <w:rFonts w:ascii="Wingdings" w:hAnsi="Wingdings" w:hint="default"/>
      </w:rPr>
    </w:lvl>
    <w:lvl w:ilvl="1" w:tplc="18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 w15:restartNumberingAfterBreak="0">
    <w:nsid w:val="655F3C0C"/>
    <w:multiLevelType w:val="hybridMultilevel"/>
    <w:tmpl w:val="2A8A753C"/>
    <w:lvl w:ilvl="0" w:tplc="2C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16500E"/>
    <w:multiLevelType w:val="hybridMultilevel"/>
    <w:tmpl w:val="CC009C2A"/>
    <w:lvl w:ilvl="0" w:tplc="2C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1"/>
  </w:num>
  <w:num w:numId="4">
    <w:abstractNumId w:val="10"/>
  </w:num>
  <w:num w:numId="5">
    <w:abstractNumId w:val="1"/>
  </w:num>
  <w:num w:numId="6">
    <w:abstractNumId w:val="7"/>
  </w:num>
  <w:num w:numId="7">
    <w:abstractNumId w:val="9"/>
  </w:num>
  <w:num w:numId="8">
    <w:abstractNumId w:val="2"/>
  </w:num>
  <w:num w:numId="9">
    <w:abstractNumId w:val="5"/>
  </w:num>
  <w:num w:numId="10">
    <w:abstractNumId w:val="3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AAB"/>
    <w:rsid w:val="000107EC"/>
    <w:rsid w:val="000157B4"/>
    <w:rsid w:val="0001762A"/>
    <w:rsid w:val="00017B8D"/>
    <w:rsid w:val="00020CD0"/>
    <w:rsid w:val="00022105"/>
    <w:rsid w:val="0003083C"/>
    <w:rsid w:val="00030FEC"/>
    <w:rsid w:val="00031465"/>
    <w:rsid w:val="000325B1"/>
    <w:rsid w:val="00034A55"/>
    <w:rsid w:val="00041A4D"/>
    <w:rsid w:val="00044BAC"/>
    <w:rsid w:val="00046189"/>
    <w:rsid w:val="00046F5C"/>
    <w:rsid w:val="00050E47"/>
    <w:rsid w:val="0005190F"/>
    <w:rsid w:val="00055CF4"/>
    <w:rsid w:val="00056C14"/>
    <w:rsid w:val="000616D3"/>
    <w:rsid w:val="000623F2"/>
    <w:rsid w:val="00064078"/>
    <w:rsid w:val="0006712A"/>
    <w:rsid w:val="00077916"/>
    <w:rsid w:val="000929B9"/>
    <w:rsid w:val="00093021"/>
    <w:rsid w:val="000A0AB9"/>
    <w:rsid w:val="000B268A"/>
    <w:rsid w:val="000B5D72"/>
    <w:rsid w:val="000B5EDD"/>
    <w:rsid w:val="000B7C00"/>
    <w:rsid w:val="000C320B"/>
    <w:rsid w:val="000D5C30"/>
    <w:rsid w:val="000E118F"/>
    <w:rsid w:val="000E2138"/>
    <w:rsid w:val="000E6A73"/>
    <w:rsid w:val="000F14E5"/>
    <w:rsid w:val="000F1970"/>
    <w:rsid w:val="000F22DA"/>
    <w:rsid w:val="00110C4A"/>
    <w:rsid w:val="00111954"/>
    <w:rsid w:val="001132A7"/>
    <w:rsid w:val="00117CBE"/>
    <w:rsid w:val="001267EE"/>
    <w:rsid w:val="0013371F"/>
    <w:rsid w:val="001346FC"/>
    <w:rsid w:val="00143B10"/>
    <w:rsid w:val="00145096"/>
    <w:rsid w:val="00147698"/>
    <w:rsid w:val="00165083"/>
    <w:rsid w:val="001716AE"/>
    <w:rsid w:val="0017746D"/>
    <w:rsid w:val="00181635"/>
    <w:rsid w:val="0018544A"/>
    <w:rsid w:val="00192A50"/>
    <w:rsid w:val="00193033"/>
    <w:rsid w:val="0019695B"/>
    <w:rsid w:val="00197393"/>
    <w:rsid w:val="001A014D"/>
    <w:rsid w:val="001A7EA0"/>
    <w:rsid w:val="001B3EFF"/>
    <w:rsid w:val="001C232C"/>
    <w:rsid w:val="001C49F6"/>
    <w:rsid w:val="001C7B31"/>
    <w:rsid w:val="001D14E2"/>
    <w:rsid w:val="001D5711"/>
    <w:rsid w:val="001E4480"/>
    <w:rsid w:val="001E4628"/>
    <w:rsid w:val="001F6DF9"/>
    <w:rsid w:val="0021798A"/>
    <w:rsid w:val="00222E93"/>
    <w:rsid w:val="002231BB"/>
    <w:rsid w:val="00226917"/>
    <w:rsid w:val="00233C86"/>
    <w:rsid w:val="002376B0"/>
    <w:rsid w:val="00241BDD"/>
    <w:rsid w:val="00250C4B"/>
    <w:rsid w:val="00254173"/>
    <w:rsid w:val="00256597"/>
    <w:rsid w:val="0026474B"/>
    <w:rsid w:val="00274992"/>
    <w:rsid w:val="00283E14"/>
    <w:rsid w:val="00290AAA"/>
    <w:rsid w:val="0029231C"/>
    <w:rsid w:val="0029644D"/>
    <w:rsid w:val="002972C1"/>
    <w:rsid w:val="002A2CBF"/>
    <w:rsid w:val="002A4AAD"/>
    <w:rsid w:val="002A7D71"/>
    <w:rsid w:val="002B10DB"/>
    <w:rsid w:val="002B47CD"/>
    <w:rsid w:val="002B6D93"/>
    <w:rsid w:val="002C0B23"/>
    <w:rsid w:val="002C29E0"/>
    <w:rsid w:val="002C7BDC"/>
    <w:rsid w:val="002C7CD7"/>
    <w:rsid w:val="002C7E8E"/>
    <w:rsid w:val="002D4E5F"/>
    <w:rsid w:val="002F3569"/>
    <w:rsid w:val="002F7329"/>
    <w:rsid w:val="003001FA"/>
    <w:rsid w:val="00301A1B"/>
    <w:rsid w:val="00303CFA"/>
    <w:rsid w:val="00314979"/>
    <w:rsid w:val="00316071"/>
    <w:rsid w:val="00330F9A"/>
    <w:rsid w:val="003315A8"/>
    <w:rsid w:val="00331A75"/>
    <w:rsid w:val="00333577"/>
    <w:rsid w:val="00335F7D"/>
    <w:rsid w:val="00346EB1"/>
    <w:rsid w:val="003479CC"/>
    <w:rsid w:val="0035492A"/>
    <w:rsid w:val="003569F8"/>
    <w:rsid w:val="00364D61"/>
    <w:rsid w:val="00364EDF"/>
    <w:rsid w:val="003667AA"/>
    <w:rsid w:val="00366BC8"/>
    <w:rsid w:val="00367F02"/>
    <w:rsid w:val="00370F0C"/>
    <w:rsid w:val="00371DC4"/>
    <w:rsid w:val="00373826"/>
    <w:rsid w:val="0037429F"/>
    <w:rsid w:val="00375309"/>
    <w:rsid w:val="00375E94"/>
    <w:rsid w:val="003812EA"/>
    <w:rsid w:val="00382972"/>
    <w:rsid w:val="00386FF9"/>
    <w:rsid w:val="0038711A"/>
    <w:rsid w:val="0039054A"/>
    <w:rsid w:val="00393809"/>
    <w:rsid w:val="003949B6"/>
    <w:rsid w:val="003966F2"/>
    <w:rsid w:val="00397BCB"/>
    <w:rsid w:val="003A00D0"/>
    <w:rsid w:val="003A1E33"/>
    <w:rsid w:val="003A2A10"/>
    <w:rsid w:val="003A3B15"/>
    <w:rsid w:val="003A7047"/>
    <w:rsid w:val="003A77B6"/>
    <w:rsid w:val="003B0889"/>
    <w:rsid w:val="003B6650"/>
    <w:rsid w:val="003C2E3C"/>
    <w:rsid w:val="003C3D91"/>
    <w:rsid w:val="003C522C"/>
    <w:rsid w:val="003C6D78"/>
    <w:rsid w:val="003C7DA1"/>
    <w:rsid w:val="003E4208"/>
    <w:rsid w:val="003E52FA"/>
    <w:rsid w:val="003F4F00"/>
    <w:rsid w:val="003F7AA5"/>
    <w:rsid w:val="003F7B43"/>
    <w:rsid w:val="003F7F97"/>
    <w:rsid w:val="0042329E"/>
    <w:rsid w:val="00426513"/>
    <w:rsid w:val="00432591"/>
    <w:rsid w:val="00433533"/>
    <w:rsid w:val="00440C2E"/>
    <w:rsid w:val="00442CA4"/>
    <w:rsid w:val="00443FA9"/>
    <w:rsid w:val="00454B12"/>
    <w:rsid w:val="004560F7"/>
    <w:rsid w:val="00467BD7"/>
    <w:rsid w:val="00476858"/>
    <w:rsid w:val="00477B0E"/>
    <w:rsid w:val="004820AB"/>
    <w:rsid w:val="004820CC"/>
    <w:rsid w:val="004968F1"/>
    <w:rsid w:val="004A0147"/>
    <w:rsid w:val="004A0DC0"/>
    <w:rsid w:val="004A1303"/>
    <w:rsid w:val="004A176E"/>
    <w:rsid w:val="004A45FA"/>
    <w:rsid w:val="004B5CC8"/>
    <w:rsid w:val="004C5506"/>
    <w:rsid w:val="004D7405"/>
    <w:rsid w:val="004E1448"/>
    <w:rsid w:val="004E1592"/>
    <w:rsid w:val="004E2583"/>
    <w:rsid w:val="004E6367"/>
    <w:rsid w:val="004E6852"/>
    <w:rsid w:val="004E6951"/>
    <w:rsid w:val="004F07B6"/>
    <w:rsid w:val="005018A7"/>
    <w:rsid w:val="0050209B"/>
    <w:rsid w:val="00503044"/>
    <w:rsid w:val="00503F98"/>
    <w:rsid w:val="005076B5"/>
    <w:rsid w:val="0051227D"/>
    <w:rsid w:val="00515260"/>
    <w:rsid w:val="005219D0"/>
    <w:rsid w:val="00522859"/>
    <w:rsid w:val="0052618C"/>
    <w:rsid w:val="00533830"/>
    <w:rsid w:val="005340D3"/>
    <w:rsid w:val="0053598B"/>
    <w:rsid w:val="00541B6A"/>
    <w:rsid w:val="00546B93"/>
    <w:rsid w:val="00551BD6"/>
    <w:rsid w:val="00552408"/>
    <w:rsid w:val="0056260D"/>
    <w:rsid w:val="00565B3D"/>
    <w:rsid w:val="00565C96"/>
    <w:rsid w:val="00566DF7"/>
    <w:rsid w:val="00572A26"/>
    <w:rsid w:val="0058268D"/>
    <w:rsid w:val="0059211F"/>
    <w:rsid w:val="00594D3B"/>
    <w:rsid w:val="005A1322"/>
    <w:rsid w:val="005B0388"/>
    <w:rsid w:val="005B16B6"/>
    <w:rsid w:val="005B70FC"/>
    <w:rsid w:val="005C066E"/>
    <w:rsid w:val="005C35D2"/>
    <w:rsid w:val="005C79B2"/>
    <w:rsid w:val="005D5946"/>
    <w:rsid w:val="005E312E"/>
    <w:rsid w:val="005E5158"/>
    <w:rsid w:val="005F023B"/>
    <w:rsid w:val="005F3A31"/>
    <w:rsid w:val="005F4963"/>
    <w:rsid w:val="005F6093"/>
    <w:rsid w:val="00600C41"/>
    <w:rsid w:val="006025D1"/>
    <w:rsid w:val="006072C2"/>
    <w:rsid w:val="00611911"/>
    <w:rsid w:val="00613CAF"/>
    <w:rsid w:val="0061786E"/>
    <w:rsid w:val="006224CB"/>
    <w:rsid w:val="00625F86"/>
    <w:rsid w:val="00631568"/>
    <w:rsid w:val="006350BE"/>
    <w:rsid w:val="00637095"/>
    <w:rsid w:val="0066025B"/>
    <w:rsid w:val="006673F3"/>
    <w:rsid w:val="00674593"/>
    <w:rsid w:val="0067734B"/>
    <w:rsid w:val="00683AAB"/>
    <w:rsid w:val="00684DF9"/>
    <w:rsid w:val="00686BC5"/>
    <w:rsid w:val="006904E4"/>
    <w:rsid w:val="00692615"/>
    <w:rsid w:val="00696852"/>
    <w:rsid w:val="00696DFB"/>
    <w:rsid w:val="006A68B0"/>
    <w:rsid w:val="006A74EF"/>
    <w:rsid w:val="006B26BE"/>
    <w:rsid w:val="006B3F13"/>
    <w:rsid w:val="006C4C19"/>
    <w:rsid w:val="006C5A3C"/>
    <w:rsid w:val="006C6FC3"/>
    <w:rsid w:val="006C7BE6"/>
    <w:rsid w:val="006D277B"/>
    <w:rsid w:val="006E1593"/>
    <w:rsid w:val="006E195A"/>
    <w:rsid w:val="006E3C81"/>
    <w:rsid w:val="006E3F86"/>
    <w:rsid w:val="006E4F10"/>
    <w:rsid w:val="006F068C"/>
    <w:rsid w:val="006F2B56"/>
    <w:rsid w:val="006F3A5A"/>
    <w:rsid w:val="006F659F"/>
    <w:rsid w:val="00700D51"/>
    <w:rsid w:val="00702118"/>
    <w:rsid w:val="007040F0"/>
    <w:rsid w:val="00706192"/>
    <w:rsid w:val="007160A9"/>
    <w:rsid w:val="00716C5C"/>
    <w:rsid w:val="007232E4"/>
    <w:rsid w:val="007302EA"/>
    <w:rsid w:val="00731A8E"/>
    <w:rsid w:val="0074181A"/>
    <w:rsid w:val="007434B8"/>
    <w:rsid w:val="0074422B"/>
    <w:rsid w:val="007539D7"/>
    <w:rsid w:val="00760CBE"/>
    <w:rsid w:val="00762F68"/>
    <w:rsid w:val="0076390F"/>
    <w:rsid w:val="00763E23"/>
    <w:rsid w:val="00763F81"/>
    <w:rsid w:val="00765D9C"/>
    <w:rsid w:val="00765DFB"/>
    <w:rsid w:val="007710BD"/>
    <w:rsid w:val="0077226E"/>
    <w:rsid w:val="0078155C"/>
    <w:rsid w:val="00786D8F"/>
    <w:rsid w:val="00795375"/>
    <w:rsid w:val="00795628"/>
    <w:rsid w:val="00795835"/>
    <w:rsid w:val="007964FB"/>
    <w:rsid w:val="00797F08"/>
    <w:rsid w:val="007A4E8B"/>
    <w:rsid w:val="007A5F99"/>
    <w:rsid w:val="007B0616"/>
    <w:rsid w:val="007C2045"/>
    <w:rsid w:val="007C21F6"/>
    <w:rsid w:val="007D12EE"/>
    <w:rsid w:val="007D1AC1"/>
    <w:rsid w:val="007E1CCB"/>
    <w:rsid w:val="007E26B2"/>
    <w:rsid w:val="007E30E4"/>
    <w:rsid w:val="007F0703"/>
    <w:rsid w:val="007F1D32"/>
    <w:rsid w:val="007F46A2"/>
    <w:rsid w:val="0080170B"/>
    <w:rsid w:val="008018D4"/>
    <w:rsid w:val="00805C5D"/>
    <w:rsid w:val="00805DD4"/>
    <w:rsid w:val="008135C1"/>
    <w:rsid w:val="008216DC"/>
    <w:rsid w:val="008244B2"/>
    <w:rsid w:val="00824558"/>
    <w:rsid w:val="00825910"/>
    <w:rsid w:val="00826B4D"/>
    <w:rsid w:val="00831DF5"/>
    <w:rsid w:val="00837E3A"/>
    <w:rsid w:val="008446E1"/>
    <w:rsid w:val="008467BA"/>
    <w:rsid w:val="00850463"/>
    <w:rsid w:val="00860F90"/>
    <w:rsid w:val="00861ED9"/>
    <w:rsid w:val="00866C5A"/>
    <w:rsid w:val="00871A2A"/>
    <w:rsid w:val="00876E44"/>
    <w:rsid w:val="008856A4"/>
    <w:rsid w:val="00885B15"/>
    <w:rsid w:val="00886EB3"/>
    <w:rsid w:val="00894B33"/>
    <w:rsid w:val="008A2DC8"/>
    <w:rsid w:val="008A3560"/>
    <w:rsid w:val="008A502A"/>
    <w:rsid w:val="008B0730"/>
    <w:rsid w:val="008B2FB7"/>
    <w:rsid w:val="008B5731"/>
    <w:rsid w:val="008B5DAA"/>
    <w:rsid w:val="008C0232"/>
    <w:rsid w:val="008C7638"/>
    <w:rsid w:val="008D3D89"/>
    <w:rsid w:val="008D5077"/>
    <w:rsid w:val="008D68A5"/>
    <w:rsid w:val="008D6ED3"/>
    <w:rsid w:val="008E12EC"/>
    <w:rsid w:val="008F3CA4"/>
    <w:rsid w:val="008F45C4"/>
    <w:rsid w:val="00906EFA"/>
    <w:rsid w:val="00923B46"/>
    <w:rsid w:val="00924C48"/>
    <w:rsid w:val="0092684C"/>
    <w:rsid w:val="00927DB4"/>
    <w:rsid w:val="0093241D"/>
    <w:rsid w:val="00936C0D"/>
    <w:rsid w:val="00937589"/>
    <w:rsid w:val="00951285"/>
    <w:rsid w:val="00951C17"/>
    <w:rsid w:val="0095685B"/>
    <w:rsid w:val="0096265B"/>
    <w:rsid w:val="0096348C"/>
    <w:rsid w:val="0097300B"/>
    <w:rsid w:val="00981EB4"/>
    <w:rsid w:val="00986517"/>
    <w:rsid w:val="0099038B"/>
    <w:rsid w:val="00993458"/>
    <w:rsid w:val="009965A0"/>
    <w:rsid w:val="00996864"/>
    <w:rsid w:val="00997B33"/>
    <w:rsid w:val="009A0FC6"/>
    <w:rsid w:val="009A4B6B"/>
    <w:rsid w:val="009B0480"/>
    <w:rsid w:val="009B39F3"/>
    <w:rsid w:val="009B6376"/>
    <w:rsid w:val="009B6EAD"/>
    <w:rsid w:val="009C1284"/>
    <w:rsid w:val="009C1F9A"/>
    <w:rsid w:val="009C21EC"/>
    <w:rsid w:val="009C70E9"/>
    <w:rsid w:val="009D34C9"/>
    <w:rsid w:val="009E0318"/>
    <w:rsid w:val="009E560F"/>
    <w:rsid w:val="009F1539"/>
    <w:rsid w:val="009F4044"/>
    <w:rsid w:val="009F48F7"/>
    <w:rsid w:val="00A05FCB"/>
    <w:rsid w:val="00A11B1E"/>
    <w:rsid w:val="00A12DC9"/>
    <w:rsid w:val="00A131B1"/>
    <w:rsid w:val="00A16DCF"/>
    <w:rsid w:val="00A20497"/>
    <w:rsid w:val="00A352AA"/>
    <w:rsid w:val="00A41939"/>
    <w:rsid w:val="00A42528"/>
    <w:rsid w:val="00A47BDF"/>
    <w:rsid w:val="00A50FF3"/>
    <w:rsid w:val="00A51EF7"/>
    <w:rsid w:val="00A55ADA"/>
    <w:rsid w:val="00A60913"/>
    <w:rsid w:val="00A62223"/>
    <w:rsid w:val="00A71344"/>
    <w:rsid w:val="00A73644"/>
    <w:rsid w:val="00A769BC"/>
    <w:rsid w:val="00A81E7C"/>
    <w:rsid w:val="00A85510"/>
    <w:rsid w:val="00A85D4F"/>
    <w:rsid w:val="00A867C3"/>
    <w:rsid w:val="00AA2217"/>
    <w:rsid w:val="00AB2378"/>
    <w:rsid w:val="00AB3103"/>
    <w:rsid w:val="00AB7169"/>
    <w:rsid w:val="00AC7B07"/>
    <w:rsid w:val="00AD387E"/>
    <w:rsid w:val="00AE4480"/>
    <w:rsid w:val="00AF7F43"/>
    <w:rsid w:val="00B02D44"/>
    <w:rsid w:val="00B06F0E"/>
    <w:rsid w:val="00B07708"/>
    <w:rsid w:val="00B11F57"/>
    <w:rsid w:val="00B12B0F"/>
    <w:rsid w:val="00B13593"/>
    <w:rsid w:val="00B15CE1"/>
    <w:rsid w:val="00B20657"/>
    <w:rsid w:val="00B230EC"/>
    <w:rsid w:val="00B25756"/>
    <w:rsid w:val="00B31420"/>
    <w:rsid w:val="00B31F49"/>
    <w:rsid w:val="00B3374C"/>
    <w:rsid w:val="00B400A4"/>
    <w:rsid w:val="00B40FAF"/>
    <w:rsid w:val="00B474F3"/>
    <w:rsid w:val="00B553A9"/>
    <w:rsid w:val="00B56F2F"/>
    <w:rsid w:val="00B703E3"/>
    <w:rsid w:val="00B71D94"/>
    <w:rsid w:val="00B76167"/>
    <w:rsid w:val="00B95BFF"/>
    <w:rsid w:val="00BA000E"/>
    <w:rsid w:val="00BA6037"/>
    <w:rsid w:val="00BC0B68"/>
    <w:rsid w:val="00BD2F60"/>
    <w:rsid w:val="00BD69CD"/>
    <w:rsid w:val="00BE5A51"/>
    <w:rsid w:val="00BE71AE"/>
    <w:rsid w:val="00BF4DFB"/>
    <w:rsid w:val="00BF76DF"/>
    <w:rsid w:val="00C03F42"/>
    <w:rsid w:val="00C062E1"/>
    <w:rsid w:val="00C079CE"/>
    <w:rsid w:val="00C1170F"/>
    <w:rsid w:val="00C26145"/>
    <w:rsid w:val="00C45804"/>
    <w:rsid w:val="00C46020"/>
    <w:rsid w:val="00C47D11"/>
    <w:rsid w:val="00C54DD1"/>
    <w:rsid w:val="00C603E1"/>
    <w:rsid w:val="00C647D9"/>
    <w:rsid w:val="00C6752B"/>
    <w:rsid w:val="00C7300D"/>
    <w:rsid w:val="00C757B1"/>
    <w:rsid w:val="00C879C5"/>
    <w:rsid w:val="00C9395D"/>
    <w:rsid w:val="00C9438E"/>
    <w:rsid w:val="00C96BB4"/>
    <w:rsid w:val="00C96C07"/>
    <w:rsid w:val="00C97937"/>
    <w:rsid w:val="00CA1D30"/>
    <w:rsid w:val="00CA3FB2"/>
    <w:rsid w:val="00CA5EC4"/>
    <w:rsid w:val="00CB7F38"/>
    <w:rsid w:val="00CC4268"/>
    <w:rsid w:val="00CC4F8F"/>
    <w:rsid w:val="00CC63E1"/>
    <w:rsid w:val="00CC7740"/>
    <w:rsid w:val="00CC7E1B"/>
    <w:rsid w:val="00CD0096"/>
    <w:rsid w:val="00CE5F9A"/>
    <w:rsid w:val="00CE7FD0"/>
    <w:rsid w:val="00CF41F2"/>
    <w:rsid w:val="00CF52E8"/>
    <w:rsid w:val="00D06F19"/>
    <w:rsid w:val="00D10AFE"/>
    <w:rsid w:val="00D16426"/>
    <w:rsid w:val="00D16480"/>
    <w:rsid w:val="00D17A39"/>
    <w:rsid w:val="00D20008"/>
    <w:rsid w:val="00D23355"/>
    <w:rsid w:val="00D36344"/>
    <w:rsid w:val="00D40953"/>
    <w:rsid w:val="00D45EA0"/>
    <w:rsid w:val="00D56905"/>
    <w:rsid w:val="00D56CEE"/>
    <w:rsid w:val="00D63E20"/>
    <w:rsid w:val="00D64CD7"/>
    <w:rsid w:val="00D67F4C"/>
    <w:rsid w:val="00D718BB"/>
    <w:rsid w:val="00D72721"/>
    <w:rsid w:val="00D776AB"/>
    <w:rsid w:val="00D8298A"/>
    <w:rsid w:val="00D83911"/>
    <w:rsid w:val="00D95DFB"/>
    <w:rsid w:val="00D96819"/>
    <w:rsid w:val="00DA0A5A"/>
    <w:rsid w:val="00DA118F"/>
    <w:rsid w:val="00DB726A"/>
    <w:rsid w:val="00DB747F"/>
    <w:rsid w:val="00DB7541"/>
    <w:rsid w:val="00DD3EB5"/>
    <w:rsid w:val="00DE2538"/>
    <w:rsid w:val="00DE6A4F"/>
    <w:rsid w:val="00DF155A"/>
    <w:rsid w:val="00E01AD9"/>
    <w:rsid w:val="00E0462E"/>
    <w:rsid w:val="00E159DF"/>
    <w:rsid w:val="00E16DA2"/>
    <w:rsid w:val="00E2013F"/>
    <w:rsid w:val="00E21C13"/>
    <w:rsid w:val="00E254AC"/>
    <w:rsid w:val="00E42CB1"/>
    <w:rsid w:val="00E4546B"/>
    <w:rsid w:val="00E46416"/>
    <w:rsid w:val="00E47D06"/>
    <w:rsid w:val="00E5073D"/>
    <w:rsid w:val="00E529B9"/>
    <w:rsid w:val="00E52DE2"/>
    <w:rsid w:val="00E53BFA"/>
    <w:rsid w:val="00E54417"/>
    <w:rsid w:val="00E6006E"/>
    <w:rsid w:val="00E6073A"/>
    <w:rsid w:val="00E616BE"/>
    <w:rsid w:val="00E61D3B"/>
    <w:rsid w:val="00E716B3"/>
    <w:rsid w:val="00E71BC0"/>
    <w:rsid w:val="00E72FF0"/>
    <w:rsid w:val="00E940E7"/>
    <w:rsid w:val="00E94F56"/>
    <w:rsid w:val="00EA3AE1"/>
    <w:rsid w:val="00EA697D"/>
    <w:rsid w:val="00EB019A"/>
    <w:rsid w:val="00EB02D0"/>
    <w:rsid w:val="00EB1200"/>
    <w:rsid w:val="00EB1F20"/>
    <w:rsid w:val="00EB34B5"/>
    <w:rsid w:val="00EB65CC"/>
    <w:rsid w:val="00EB78BA"/>
    <w:rsid w:val="00EC0481"/>
    <w:rsid w:val="00ED1A60"/>
    <w:rsid w:val="00ED2A1F"/>
    <w:rsid w:val="00ED2E27"/>
    <w:rsid w:val="00ED7D11"/>
    <w:rsid w:val="00F0200D"/>
    <w:rsid w:val="00F030C3"/>
    <w:rsid w:val="00F0516D"/>
    <w:rsid w:val="00F079BF"/>
    <w:rsid w:val="00F10C64"/>
    <w:rsid w:val="00F223BB"/>
    <w:rsid w:val="00F26AFB"/>
    <w:rsid w:val="00F27309"/>
    <w:rsid w:val="00F32E2B"/>
    <w:rsid w:val="00F35A57"/>
    <w:rsid w:val="00F42887"/>
    <w:rsid w:val="00F45C16"/>
    <w:rsid w:val="00F47438"/>
    <w:rsid w:val="00F578FB"/>
    <w:rsid w:val="00F626BD"/>
    <w:rsid w:val="00F75B14"/>
    <w:rsid w:val="00F80792"/>
    <w:rsid w:val="00F81ED0"/>
    <w:rsid w:val="00F9621E"/>
    <w:rsid w:val="00F9763A"/>
    <w:rsid w:val="00FA386C"/>
    <w:rsid w:val="00FA6B1A"/>
    <w:rsid w:val="00FA7B42"/>
    <w:rsid w:val="00FB00B8"/>
    <w:rsid w:val="00FB039E"/>
    <w:rsid w:val="00FB1245"/>
    <w:rsid w:val="00FB2214"/>
    <w:rsid w:val="00FB2FAF"/>
    <w:rsid w:val="00FB3F97"/>
    <w:rsid w:val="00FB51F5"/>
    <w:rsid w:val="00FB75E6"/>
    <w:rsid w:val="00FB7900"/>
    <w:rsid w:val="00FB7F17"/>
    <w:rsid w:val="00FC08D9"/>
    <w:rsid w:val="00FC0FAD"/>
    <w:rsid w:val="00FC111C"/>
    <w:rsid w:val="00FD0867"/>
    <w:rsid w:val="00FD0C1B"/>
    <w:rsid w:val="00FD3FE2"/>
    <w:rsid w:val="00FD58D8"/>
    <w:rsid w:val="00FD58DE"/>
    <w:rsid w:val="00FD7233"/>
    <w:rsid w:val="00FE03AC"/>
    <w:rsid w:val="00FE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70978"/>
  <w15:docId w15:val="{84703F9B-78C1-4253-9809-A8A20B557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r-Latn-ME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3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5506"/>
    <w:pPr>
      <w:spacing w:before="0" w:after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uiPriority w:val="99"/>
    <w:semiHidden/>
    <w:unhideWhenUsed/>
    <w:rsid w:val="004C5506"/>
    <w:pPr>
      <w:spacing w:before="600" w:after="320" w:line="300" w:lineRule="auto"/>
    </w:pPr>
    <w:rPr>
      <w:rFonts w:asciiTheme="minorHAnsi" w:eastAsiaTheme="minorEastAsia" w:hAnsiTheme="minorHAnsi" w:cstheme="minorBidi"/>
      <w:color w:val="44546A" w:themeColor="text2"/>
      <w:sz w:val="20"/>
      <w:szCs w:val="20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4C5506"/>
    <w:pPr>
      <w:spacing w:before="0" w:after="600"/>
      <w:contextualSpacing/>
    </w:pPr>
    <w:rPr>
      <w:rFonts w:asciiTheme="majorHAnsi" w:eastAsiaTheme="majorEastAsia" w:hAnsiTheme="majorHAnsi" w:cstheme="majorBidi"/>
      <w:color w:val="5B9BD5" w:themeColor="accent1"/>
      <w:kern w:val="28"/>
      <w:sz w:val="96"/>
      <w:szCs w:val="96"/>
      <w:lang w:val="en-US" w:eastAsia="ja-JP"/>
    </w:rPr>
  </w:style>
  <w:style w:type="character" w:customStyle="1" w:styleId="TitleChar">
    <w:name w:val="Title Char"/>
    <w:basedOn w:val="DefaultParagraphFont"/>
    <w:link w:val="Title"/>
    <w:uiPriority w:val="10"/>
    <w:rsid w:val="004C5506"/>
    <w:rPr>
      <w:rFonts w:asciiTheme="majorHAnsi" w:eastAsiaTheme="majorEastAsia" w:hAnsiTheme="majorHAnsi" w:cstheme="majorBidi"/>
      <w:color w:val="5B9BD5" w:themeColor="accent1"/>
      <w:kern w:val="28"/>
      <w:sz w:val="96"/>
      <w:szCs w:val="96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506"/>
    <w:pPr>
      <w:numPr>
        <w:ilvl w:val="1"/>
      </w:numPr>
      <w:spacing w:before="0" w:after="0"/>
    </w:pPr>
    <w:rPr>
      <w:rFonts w:asciiTheme="minorHAnsi" w:eastAsiaTheme="minorEastAsia" w:hAnsiTheme="minorHAnsi" w:cstheme="minorBidi"/>
      <w:color w:val="44546A" w:themeColor="text2"/>
      <w:sz w:val="32"/>
      <w:szCs w:val="32"/>
      <w:lang w:val="en-US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C5506"/>
    <w:rPr>
      <w:rFonts w:asciiTheme="minorHAnsi" w:eastAsiaTheme="minorEastAsia" w:hAnsiTheme="minorHAnsi" w:cstheme="minorBidi"/>
      <w:color w:val="44546A" w:themeColor="text2"/>
      <w:sz w:val="32"/>
      <w:szCs w:val="32"/>
      <w:lang w:val="en-US" w:eastAsia="ja-JP"/>
    </w:rPr>
  </w:style>
  <w:style w:type="table" w:customStyle="1" w:styleId="PlainTable51">
    <w:name w:val="Plain Table 51"/>
    <w:basedOn w:val="TableNormal"/>
    <w:uiPriority w:val="45"/>
    <w:rsid w:val="006D277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31">
    <w:name w:val="Plain Table 31"/>
    <w:basedOn w:val="TableNormal"/>
    <w:uiPriority w:val="43"/>
    <w:rsid w:val="006D277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86D8F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86D8F"/>
  </w:style>
  <w:style w:type="paragraph" w:styleId="Footer">
    <w:name w:val="footer"/>
    <w:basedOn w:val="Normal"/>
    <w:link w:val="FooterChar"/>
    <w:uiPriority w:val="99"/>
    <w:unhideWhenUsed/>
    <w:rsid w:val="00786D8F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786D8F"/>
  </w:style>
  <w:style w:type="character" w:styleId="Hyperlink">
    <w:name w:val="Hyperlink"/>
    <w:basedOn w:val="DefaultParagraphFont"/>
    <w:uiPriority w:val="99"/>
    <w:semiHidden/>
    <w:unhideWhenUsed/>
    <w:rsid w:val="0066025B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F7329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F732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F732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A0A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0A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0A5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0A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0A5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0A5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A5A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EC,Colorful List Accent 1,Paragraphe de liste1,List Paragraph (numbered (a)),List_Paragraph,Multilevel para_II,List Paragraph1,Colorful List - Accent 11,Dot pt,No Spacing1,List Paragraph Char Char Char,Indicator Text,L"/>
    <w:basedOn w:val="Normal"/>
    <w:link w:val="ListParagraphChar"/>
    <w:uiPriority w:val="34"/>
    <w:qFormat/>
    <w:rsid w:val="00373826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046189"/>
    <w:pPr>
      <w:spacing w:before="0" w:after="0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EC Char,Colorful List Accent 1 Char,Paragraphe de liste1 Char,List Paragraph (numbered (a)) Char,List_Paragraph Char,Multilevel para_II Char,List Paragraph1 Char,Colorful List - Accent 11 Char,Dot pt Char,No Spacing1 Char,L Char"/>
    <w:link w:val="ListParagraph"/>
    <w:uiPriority w:val="34"/>
    <w:qFormat/>
    <w:locked/>
    <w:rsid w:val="005C35D2"/>
  </w:style>
  <w:style w:type="table" w:customStyle="1" w:styleId="PlainTable311">
    <w:name w:val="Plain Table 311"/>
    <w:basedOn w:val="TableNormal"/>
    <w:uiPriority w:val="43"/>
    <w:rsid w:val="00503F98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996864"/>
    <w:pPr>
      <w:autoSpaceDE w:val="0"/>
      <w:autoSpaceDN w:val="0"/>
      <w:adjustRightInd w:val="0"/>
      <w:spacing w:before="0" w:after="0"/>
    </w:pPr>
    <w:rPr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0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2A636-F765-4BD2-BC1B-D6A2E49CF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10</Pages>
  <Words>2687</Words>
  <Characters>15318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 Bulatovic</dc:creator>
  <cp:lastModifiedBy>Marija Maraš</cp:lastModifiedBy>
  <cp:revision>29</cp:revision>
  <cp:lastPrinted>2020-02-13T12:55:00Z</cp:lastPrinted>
  <dcterms:created xsi:type="dcterms:W3CDTF">2021-04-19T10:30:00Z</dcterms:created>
  <dcterms:modified xsi:type="dcterms:W3CDTF">2021-04-26T12:40:00Z</dcterms:modified>
</cp:coreProperties>
</file>